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left"/>
      </w:pPr>
      <w:r>
        <w:rPr>
          <w:b/>
          <w:bCs/>
          <w:sz w:val="44"/>
          <w:szCs w:val="44"/>
        </w:rPr>
        <w:t xml:space="preserve">Ward7 Voice &amp; Tone</w:t>
      </w:r>
    </w:p>
    <w:p>
      <w:pPr>
        <w:spacing w:after="120"/>
      </w:pPr>
      <w:r>
        <w:rPr>
          <w:color w:val="555555"/>
          <w:sz w:val="28"/>
          <w:szCs w:val="28"/>
        </w:rPr>
        <w:t xml:space="preserve">How we sound — character, register, sentence-level craft</w:t>
      </w:r>
    </w:p>
    <w:p>
      <w:pPr>
        <w:spacing w:after="240"/>
      </w:pPr>
      <w:r>
        <w:rPr>
          <w:i/>
          <w:iCs/>
          <w:color w:val="777777"/>
        </w:rPr>
        <w:t xml:space="preserve">New document. Ward7’s working house style covers mechanics; voice was not articulated. Starter content mirrors Ward6’s parallel doc and is provided as a starting point only — Ward7’s team will diverge from this as they review.</w:t>
      </w:r>
    </w:p>
    <w:p>
      <w:pPr>
        <w:spacing w:after="120"/>
      </w:pPr>
      <w:r>
        <w:t xml:space="preserve">This document is intended as a starting point, not a finished product. The team is asked to react to it, edit it, replace it, and most importantly, supply the voice exemplars and before/after rewrites that AI use depends on.</w:t>
      </w:r>
    </w:p>
    <w:p>
      <w:pPr>
        <w:spacing w:after="120"/>
      </w:pPr>
      <w:r>
        <w:t xml:space="preserve">Ward6 maintains a parallel Voice &amp; Tone document. The two will likely diverge once each team has reviewed.</w:t>
      </w:r>
    </w:p>
    <w:p>
      <w:pPr>
        <w:pBdr>
          <w:bottom w:val="single" w:color="999999" w:sz="6" w:space="1"/>
        </w:pBdr>
        <w:spacing w:after="240"/>
      </w:pPr>
    </w:p>
    <w:p>
      <w:pPr>
        <w:pStyle w:val="Heading1"/>
        <w:spacing w:after="180" w:before="360"/>
      </w:pPr>
      <w:r>
        <w:t xml:space="preserve">How to read this document</w:t>
      </w:r>
    </w:p>
    <w:p>
      <w:pPr>
        <w:spacing w:after="120"/>
      </w:pPr>
      <w:r>
        <w:rPr>
          <w:highlight w:val="yellow"/>
          <w:highlightCs w:val="yellow"/>
        </w:rPr>
        <w:t xml:space="preserve">All content is highlighted as PROPOSED because Ward7’s working house style had no voice section. Team to confirm.</w:t>
      </w:r>
    </w:p>
    <w:p>
      <w:pPr>
        <w:pStyle w:val="Heading1"/>
        <w:spacing w:after="180" w:before="360"/>
      </w:pPr>
      <w:r>
        <w:t xml:space="preserve">Voice descriptors</w:t>
      </w:r>
    </w:p>
    <w:p>
      <w:pPr>
        <w:pStyle w:val="Heading2"/>
        <w:spacing w:after="120" w:before="280"/>
      </w:pPr>
      <w:r>
        <w:rPr>
          <w:highlight w:val="yellow"/>
          <w:highlightCs w:val="yellow"/>
        </w:rPr>
        <w:t xml:space="preserve">We sound like</w:t>
      </w:r>
    </w:p>
    <w:p>
      <w:pPr>
        <w:pStyle w:val="ListParagraph"/>
        <w:numPr>
          <w:ilvl w:val="0"/>
          <w:numId w:val="2"/>
        </w:numPr>
        <w:spacing w:after="60"/>
      </w:pPr>
      <w:r>
        <w:rPr>
          <w:highlight w:val="yellow"/>
          <w:highlightCs w:val="yellow"/>
        </w:rPr>
        <w:t xml:space="preserve">Authoritative without being clinical-cold — confident in the science, clear with the reader.</w:t>
      </w:r>
    </w:p>
    <w:p>
      <w:pPr>
        <w:pStyle w:val="ListParagraph"/>
        <w:numPr>
          <w:ilvl w:val="0"/>
          <w:numId w:val="2"/>
        </w:numPr>
        <w:spacing w:after="60"/>
      </w:pPr>
      <w:r>
        <w:rPr>
          <w:highlight w:val="yellow"/>
          <w:highlightCs w:val="yellow"/>
        </w:rPr>
        <w:t xml:space="preserve">Plain-spoken — we choose the simpler word when the simpler word is accurate.</w:t>
      </w:r>
    </w:p>
    <w:p>
      <w:pPr>
        <w:pStyle w:val="ListParagraph"/>
        <w:numPr>
          <w:ilvl w:val="0"/>
          <w:numId w:val="2"/>
        </w:numPr>
        <w:spacing w:after="60"/>
      </w:pPr>
      <w:r>
        <w:rPr>
          <w:highlight w:val="yellow"/>
          <w:highlightCs w:val="yellow"/>
        </w:rPr>
        <w:t xml:space="preserve">Respectful of the reader’s time — we lead with what matters, then provide the supporting detail.</w:t>
      </w:r>
    </w:p>
    <w:p>
      <w:pPr>
        <w:pStyle w:val="ListParagraph"/>
        <w:numPr>
          <w:ilvl w:val="0"/>
          <w:numId w:val="2"/>
        </w:numPr>
        <w:spacing w:after="60"/>
      </w:pPr>
      <w:r>
        <w:rPr>
          <w:highlight w:val="yellow"/>
          <w:highlightCs w:val="yellow"/>
        </w:rPr>
        <w:t xml:space="preserve">Patient-aware — even in HCP-facing copy, we never lose sight of the person at the end of the line.</w:t>
      </w:r>
    </w:p>
    <w:p>
      <w:pPr>
        <w:pStyle w:val="Heading2"/>
        <w:spacing w:after="120" w:before="280"/>
      </w:pPr>
      <w:r>
        <w:rPr>
          <w:highlight w:val="yellow"/>
          <w:highlightCs w:val="yellow"/>
        </w:rPr>
        <w:t xml:space="preserve">We don’t sound like</w:t>
      </w:r>
    </w:p>
    <w:p>
      <w:pPr>
        <w:pStyle w:val="ListParagraph"/>
        <w:numPr>
          <w:ilvl w:val="0"/>
          <w:numId w:val="2"/>
        </w:numPr>
        <w:spacing w:after="60"/>
      </w:pPr>
      <w:r>
        <w:rPr>
          <w:highlight w:val="yellow"/>
          <w:highlightCs w:val="yellow"/>
        </w:rPr>
        <w:t xml:space="preserve">Marketing-puffed — no “revolutionary”, “game-changing”, “next-generation”, “breakthrough”.</w:t>
      </w:r>
    </w:p>
    <w:p>
      <w:pPr>
        <w:pStyle w:val="ListParagraph"/>
        <w:numPr>
          <w:ilvl w:val="0"/>
          <w:numId w:val="2"/>
        </w:numPr>
        <w:spacing w:after="60"/>
      </w:pPr>
      <w:r>
        <w:rPr>
          <w:highlight w:val="yellow"/>
          <w:highlightCs w:val="yellow"/>
        </w:rPr>
        <w:t xml:space="preserve">Lecturing — we don’t over-explain to specialists or under-explain to patients.</w:t>
      </w:r>
    </w:p>
    <w:p>
      <w:pPr>
        <w:pStyle w:val="ListParagraph"/>
        <w:numPr>
          <w:ilvl w:val="0"/>
          <w:numId w:val="2"/>
        </w:numPr>
        <w:spacing w:after="60"/>
      </w:pPr>
      <w:r>
        <w:rPr>
          <w:highlight w:val="yellow"/>
          <w:highlightCs w:val="yellow"/>
        </w:rPr>
        <w:t xml:space="preserve">Hedged into mush — qualifiers should clarify, not soften every claim into nothing.</w:t>
      </w:r>
    </w:p>
    <w:p>
      <w:pPr>
        <w:spacing w:after="120"/>
      </w:pPr>
      <w:r>
        <w:rPr>
          <w:highlight w:val="yellow"/>
          <w:highlightCs w:val="yellow"/>
        </w:rPr>
        <w:t xml:space="preserve">Team to confirm: are these the right adjectives? What would you add or remove? Where does Ward7 sound different from Ward6?</w:t>
      </w:r>
    </w:p>
    <w:p>
      <w:pPr>
        <w:pStyle w:val="Heading1"/>
        <w:spacing w:after="180" w:before="360"/>
      </w:pPr>
      <w:r>
        <w:t xml:space="preserve">Sentence-level guidance</w:t>
      </w:r>
    </w:p>
    <w:p>
      <w:pPr>
        <w:pStyle w:val="ListParagraph"/>
        <w:numPr>
          <w:ilvl w:val="0"/>
          <w:numId w:val="2"/>
        </w:numPr>
        <w:spacing w:after="60"/>
      </w:pPr>
      <w:r>
        <w:rPr>
          <w:highlight w:val="yellow"/>
          <w:highlightCs w:val="yellow"/>
        </w:rPr>
        <w:t xml:space="preserve">Default to active voice. Use passive only when the agent genuinely doesn’t matter (e.g. “patients were randomised…”).</w:t>
      </w:r>
    </w:p>
    <w:p>
      <w:pPr>
        <w:pStyle w:val="ListParagraph"/>
        <w:numPr>
          <w:ilvl w:val="0"/>
          <w:numId w:val="2"/>
        </w:numPr>
        <w:spacing w:after="60"/>
      </w:pPr>
      <w:r>
        <w:rPr>
          <w:highlight w:val="yellow"/>
          <w:highlightCs w:val="yellow"/>
        </w:rPr>
        <w:t xml:space="preserve">Aim for sentence-length variation. A run of 25-word sentences is harder to read than a mix of long and short.</w:t>
      </w:r>
    </w:p>
    <w:p>
      <w:pPr>
        <w:pStyle w:val="ListParagraph"/>
        <w:numPr>
          <w:ilvl w:val="0"/>
          <w:numId w:val="2"/>
        </w:numPr>
        <w:spacing w:after="60"/>
      </w:pPr>
      <w:r>
        <w:rPr>
          <w:highlight w:val="yellow"/>
          <w:highlightCs w:val="yellow"/>
        </w:rPr>
        <w:t xml:space="preserve">One idea per sentence. If a sentence has two clauses joined by “and”, ask whether two sentences would read more cleanly.</w:t>
      </w:r>
    </w:p>
    <w:p>
      <w:pPr>
        <w:pStyle w:val="ListParagraph"/>
        <w:numPr>
          <w:ilvl w:val="0"/>
          <w:numId w:val="2"/>
        </w:numPr>
        <w:spacing w:after="60"/>
      </w:pPr>
      <w:r>
        <w:rPr>
          <w:highlight w:val="yellow"/>
          <w:highlightCs w:val="yellow"/>
        </w:rPr>
        <w:t xml:space="preserve">Lead with the news, not the wind-up. “Drug X reduced relapses by 40%” beats “In a study of 1,200 patients, drug X was shown to reduce…”.</w:t>
      </w:r>
    </w:p>
    <w:p>
      <w:pPr>
        <w:pStyle w:val="ListParagraph"/>
        <w:numPr>
          <w:ilvl w:val="0"/>
          <w:numId w:val="2"/>
        </w:numPr>
        <w:spacing w:after="60"/>
      </w:pPr>
      <w:r>
        <w:rPr>
          <w:highlight w:val="yellow"/>
          <w:highlightCs w:val="yellow"/>
        </w:rPr>
        <w:t xml:space="preserve">Read the copy aloud. If you stumble, the reader will too.</w:t>
      </w:r>
    </w:p>
    <w:p>
      <w:pPr>
        <w:pStyle w:val="Heading1"/>
        <w:spacing w:after="180" w:before="360"/>
      </w:pPr>
      <w:r>
        <w:t xml:space="preserve">Tone by deliverable type</w:t>
      </w:r>
    </w:p>
    <w:p>
      <w:pPr>
        <w:spacing w:after="120"/>
      </w:pPr>
      <w:r>
        <w:rPr>
          <w:highlight w:val="yellow"/>
          <w:highlightCs w:val="yellow"/>
        </w:rPr>
        <w:t xml:space="preserve">The same brand voice should adjust register based on what’s being written. Suggested defaults — team to confirm:</w:t>
      </w:r>
    </w:p>
    <w:p>
      <w:pPr>
        <w:pStyle w:val="ListParagraph"/>
        <w:numPr>
          <w:ilvl w:val="0"/>
          <w:numId w:val="2"/>
        </w:numPr>
        <w:spacing w:after="60"/>
      </w:pPr>
      <w:r>
        <w:rPr>
          <w:highlight w:val="yellow"/>
          <w:highlightCs w:val="yellow"/>
        </w:rPr>
        <w:t xml:space="preserve">Newsletter / scientific update (HCP): authoritative, dense, citation-led. Sentence length can run longer.</w:t>
      </w:r>
    </w:p>
    <w:p>
      <w:pPr>
        <w:pStyle w:val="ListParagraph"/>
        <w:numPr>
          <w:ilvl w:val="0"/>
          <w:numId w:val="2"/>
        </w:numPr>
        <w:spacing w:after="60"/>
      </w:pPr>
      <w:r>
        <w:rPr>
          <w:highlight w:val="yellow"/>
          <w:highlightCs w:val="yellow"/>
        </w:rPr>
        <w:t xml:space="preserve">eDetailer / sales aid (HCP): claim-led, scannable, short sentences, every line earning its place.</w:t>
      </w:r>
    </w:p>
    <w:p>
      <w:pPr>
        <w:pStyle w:val="ListParagraph"/>
        <w:numPr>
          <w:ilvl w:val="0"/>
          <w:numId w:val="2"/>
        </w:numPr>
        <w:spacing w:after="60"/>
      </w:pPr>
      <w:r>
        <w:rPr>
          <w:highlight w:val="yellow"/>
          <w:highlightCs w:val="yellow"/>
        </w:rPr>
        <w:t xml:space="preserve">Patient-facing piece: warm, plain language, no acronyms unless explained, average reading age ≤Year 8.</w:t>
      </w:r>
    </w:p>
    <w:p>
      <w:pPr>
        <w:pStyle w:val="ListParagraph"/>
        <w:numPr>
          <w:ilvl w:val="0"/>
          <w:numId w:val="2"/>
        </w:numPr>
        <w:spacing w:after="60"/>
      </w:pPr>
      <w:r>
        <w:rPr>
          <w:highlight w:val="yellow"/>
          <w:highlightCs w:val="yellow"/>
        </w:rPr>
        <w:t xml:space="preserve">Manuscript / abstract: scientific register, third-person, cautious framing of conclusions.</w:t>
      </w:r>
    </w:p>
    <w:p>
      <w:pPr>
        <w:pStyle w:val="ListParagraph"/>
        <w:numPr>
          <w:ilvl w:val="0"/>
          <w:numId w:val="2"/>
        </w:numPr>
        <w:spacing w:after="60"/>
      </w:pPr>
      <w:r>
        <w:rPr>
          <w:highlight w:val="yellow"/>
          <w:highlightCs w:val="yellow"/>
        </w:rPr>
        <w:t xml:space="preserve">Conference poster: dense, claim-led, scannable; bullet-friendly.</w:t>
      </w:r>
    </w:p>
    <w:p>
      <w:pPr>
        <w:pStyle w:val="ListParagraph"/>
        <w:numPr>
          <w:ilvl w:val="0"/>
          <w:numId w:val="2"/>
        </w:numPr>
        <w:spacing w:after="60"/>
      </w:pPr>
      <w:r>
        <w:rPr>
          <w:highlight w:val="yellow"/>
          <w:highlightCs w:val="yellow"/>
        </w:rPr>
        <w:t xml:space="preserve">Internal / account-service writing: clear, direct, brief.</w:t>
      </w:r>
    </w:p>
    <w:p>
      <w:pPr>
        <w:pStyle w:val="ListParagraph"/>
        <w:numPr>
          <w:ilvl w:val="0"/>
          <w:numId w:val="2"/>
        </w:numPr>
        <w:spacing w:after="60"/>
      </w:pPr>
      <w:r>
        <w:rPr>
          <w:highlight w:val="yellow"/>
          <w:highlightCs w:val="yellow"/>
        </w:rPr>
        <w:t xml:space="preserve">Social and digital posts: hook-led, conversational; voice still on-brand but register loosens.</w:t>
      </w:r>
    </w:p>
    <w:p>
      <w:pPr>
        <w:spacing w:after="120"/>
      </w:pPr>
      <w:r>
        <w:rPr>
          <w:highlight w:val="yellow"/>
          <w:highlightCs w:val="yellow"/>
        </w:rPr>
        <w:t>See the brand's Audiences document for the matching audience-tier definitions.</w:t>
      </w:r>
    </w:p>
    <w:p>
      <w:pPr>
        <w:pStyle w:val="Heading1"/>
        <w:spacing w:after="180" w:before="360"/>
      </w:pPr>
      <w:r>
        <w:t xml:space="preserve">Voice exemplars  [REQUEST FROM TEAM]</w:t>
      </w:r>
    </w:p>
    <w:p>
      <w:pPr>
        <w:spacing w:after="120"/>
      </w:pPr>
      <w:r>
        <w:rPr>
          <w:highlight w:val="yellow"/>
          <w:highlightCs w:val="yellow"/>
        </w:rPr>
        <w:t xml:space="preserve">To make this document workable for AI use, we need 3–5 short paragraphs of approved Ward7 copy that the team agrees “this is exactly how we sound”. Examples are the single highest-leverage thing you can supply for AI-assisted writing — rules describe; examples teach.</w:t>
      </w:r>
    </w:p>
    <w:p>
      <w:pPr>
        <w:spacing w:after="120"/>
      </w:pPr>
      <w:r>
        <w:rPr>
          <w:highlight w:val="yellow"/>
          <w:highlightCs w:val="yellow"/>
        </w:rPr>
        <w:t xml:space="preserve">Ideal sources:</w:t>
      </w:r>
    </w:p>
    <w:p>
      <w:pPr>
        <w:pStyle w:val="ListParagraph"/>
        <w:numPr>
          <w:ilvl w:val="0"/>
          <w:numId w:val="2"/>
        </w:numPr>
        <w:spacing w:after="60"/>
      </w:pPr>
      <w:r>
        <w:rPr>
          <w:highlight w:val="yellow"/>
          <w:highlightCs w:val="yellow"/>
        </w:rPr>
        <w:t xml:space="preserve">A safety-claim paragraph from a recent approved newsletter or eDetailer.</w:t>
      </w:r>
    </w:p>
    <w:p>
      <w:pPr>
        <w:pStyle w:val="ListParagraph"/>
        <w:numPr>
          <w:ilvl w:val="0"/>
          <w:numId w:val="2"/>
        </w:numPr>
        <w:spacing w:after="60"/>
      </w:pPr>
      <w:r>
        <w:rPr>
          <w:highlight w:val="yellow"/>
          <w:highlightCs w:val="yellow"/>
        </w:rPr>
        <w:t xml:space="preserve">A patient-benefit statement from a consumer-facing piece.</w:t>
      </w:r>
    </w:p>
    <w:p>
      <w:pPr>
        <w:pStyle w:val="ListParagraph"/>
        <w:numPr>
          <w:ilvl w:val="0"/>
          <w:numId w:val="2"/>
        </w:numPr>
        <w:spacing w:after="60"/>
      </w:pPr>
      <w:r>
        <w:rPr>
          <w:highlight w:val="yellow"/>
          <w:highlightCs w:val="yellow"/>
        </w:rPr>
        <w:t xml:space="preserve">A study-introduction paragraph from a manuscript or scientific update.</w:t>
      </w:r>
    </w:p>
    <w:p>
      <w:pPr>
        <w:pStyle w:val="ListParagraph"/>
        <w:numPr>
          <w:ilvl w:val="0"/>
          <w:numId w:val="2"/>
        </w:numPr>
        <w:spacing w:after="60"/>
      </w:pPr>
      <w:r>
        <w:rPr>
          <w:highlight w:val="yellow"/>
          <w:highlightCs w:val="yellow"/>
        </w:rPr>
        <w:t xml:space="preserve">A mechanism-of-action explanation that lands well.</w:t>
      </w:r>
    </w:p>
    <w:p>
      <w:pPr>
        <w:pStyle w:val="ListParagraph"/>
        <w:numPr>
          <w:ilvl w:val="0"/>
          <w:numId w:val="2"/>
        </w:numPr>
        <w:spacing w:after="60"/>
      </w:pPr>
      <w:r>
        <w:rPr>
          <w:highlight w:val="yellow"/>
          <w:highlightCs w:val="yellow"/>
        </w:rPr>
        <w:t xml:space="preserve">Anything the team holds up as “a perfect Ward7 sentence”.</w:t>
      </w:r>
    </w:p>
    <w:p>
      <w:pPr>
        <w:spacing w:after="120"/>
      </w:pPr>
      <w:r>
        <w:rPr>
          <w:highlight w:val="yellow"/>
          <w:highlightCs w:val="yellow"/>
        </w:rPr>
        <w:t xml:space="preserve">Each exemplar should be 50–150 words, captured exactly as published, with a short note on why it’s on-voice.</w:t>
      </w:r>
    </w:p>
    <w:p>
      <w:pPr>
        <w:pStyle w:val="Heading1"/>
        <w:spacing w:after="180" w:before="360"/>
      </w:pPr>
      <w:r>
        <w:t xml:space="preserve">Before / after rewrites  [REQUEST FROM TEAM]</w:t>
      </w:r>
    </w:p>
    <w:p>
      <w:pPr>
        <w:spacing w:after="120"/>
      </w:pPr>
      <w:r>
        <w:rPr>
          <w:highlight w:val="yellow"/>
          <w:highlightCs w:val="yellow"/>
        </w:rPr>
        <w:t xml:space="preserve">5–10 paired examples in the format “this is not Ward7 → this is Ward7” are extremely high-leverage for both training new writers and AI. Ideally drawn from real edits the team has made on draft copy.</w:t>
      </w:r>
    </w:p>
    <w:p>
      <w:pPr>
        <w:pStyle w:val="ListParagraph"/>
        <w:numPr>
          <w:ilvl w:val="0"/>
          <w:numId w:val="2"/>
        </w:numPr>
        <w:spacing w:after="60"/>
      </w:pPr>
      <w:r>
        <w:rPr>
          <w:highlight w:val="yellow"/>
          <w:highlightCs w:val="yellow"/>
        </w:rPr>
        <w:t xml:space="preserve">Marketing-puffed → measured.</w:t>
      </w:r>
    </w:p>
    <w:p>
      <w:pPr>
        <w:pStyle w:val="ListParagraph"/>
        <w:numPr>
          <w:ilvl w:val="0"/>
          <w:numId w:val="2"/>
        </w:numPr>
        <w:spacing w:after="60"/>
      </w:pPr>
      <w:r>
        <w:rPr>
          <w:highlight w:val="yellow"/>
          <w:highlightCs w:val="yellow"/>
        </w:rPr>
        <w:t xml:space="preserve">Hedged-to-mush → confidently qualified.</w:t>
      </w:r>
    </w:p>
    <w:p>
      <w:pPr>
        <w:pStyle w:val="ListParagraph"/>
        <w:numPr>
          <w:ilvl w:val="0"/>
          <w:numId w:val="2"/>
        </w:numPr>
        <w:spacing w:after="60"/>
      </w:pPr>
      <w:r>
        <w:rPr>
          <w:highlight w:val="yellow"/>
          <w:highlightCs w:val="yellow"/>
        </w:rPr>
        <w:t xml:space="preserve">Lecturing → respectful of expertise.</w:t>
      </w:r>
    </w:p>
    <w:p>
      <w:pPr>
        <w:pStyle w:val="ListParagraph"/>
        <w:numPr>
          <w:ilvl w:val="0"/>
          <w:numId w:val="2"/>
        </w:numPr>
        <w:spacing w:after="60"/>
      </w:pPr>
      <w:r>
        <w:rPr>
          <w:highlight w:val="yellow"/>
          <w:highlightCs w:val="yellow"/>
        </w:rPr>
        <w:t xml:space="preserve">Generic → therapeutic-area specific.</w:t>
      </w:r>
    </w:p>
    <w:p>
      <w:pPr>
        <w:pStyle w:val="ListParagraph"/>
        <w:numPr>
          <w:ilvl w:val="0"/>
          <w:numId w:val="2"/>
        </w:numPr>
        <w:spacing w:after="60"/>
      </w:pPr>
      <w:r>
        <w:rPr>
          <w:highlight w:val="yellow"/>
          <w:highlightCs w:val="yellow"/>
        </w:rPr>
        <w:t xml:space="preserve">Patient-defining → patient-respecting.</w:t>
      </w:r>
    </w:p>
    <w:p>
      <w:pPr>
        <w:pStyle w:val="Heading1"/>
        <w:spacing w:after="180" w:before="360"/>
      </w:pPr>
      <w:r>
        <w:t xml:space="preserve">Companion documents</w:t>
      </w:r>
    </w:p>
    <w:p>
      <w:pPr>
        <w:spacing w:after="120"/>
      </w:pPr>
      <w:r>
        <w:rPr>
          <w:b/>
          <w:bCs/>
        </w:rPr>
        <w:t xml:space="preserve">Ward7 House Style</w:t>
      </w:r>
      <w:r>
        <w:t xml:space="preserve"> — mechanics, including the proposed banned-phrases list that pairs with the voice descriptors above.</w:t>
      </w:r>
    </w:p>
    <w:p>
      <w:pPr>
        <w:spacing w:after="120"/>
      </w:pPr>
      <w:r>
        <w:rPr>
          <w:b/>
          <w:bCs/>
        </w:rPr>
        <w:t>Audience definitions that pair with the tone-by-deliverable section are handled at the brand level, in each brand's Audiences document.</w:t>
      </w:r>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77777"/>
        <w:sz w:val="18"/>
        <w:szCs w:val="18"/>
      </w:rPr>
      <w:t xml:space="preserve">Page </w:t>
    </w:r>
    <w:r>
      <w:rPr>
        <w:color w:val="777777"/>
        <w:sz w:val="18"/>
        <w:szCs w:val="18"/>
      </w:rPr>
      <w:fldChar w:fldCharType="begin"/>
      <w:instrText xml:space="preserve">PAGE</w:instrText>
      <w:fldChar w:fldCharType="separate"/>
      <w:fldChar w:fldCharType="end"/>
    </w:r>
    <w:r>
      <w:rPr>
        <w:color w:val="777777"/>
        <w:sz w:val="18"/>
        <w:szCs w:val="18"/>
      </w:rPr>
      <w:t xml:space="preserve"> of </w:t>
    </w:r>
    <w:r>
      <w:rPr>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777777"/>
        <w:sz w:val="18"/>
        <w:szCs w:val="18"/>
      </w:rPr>
      <w:t xml:space="preserve">Ward7  |  Style &amp; Process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2937"/>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1F2937"/>
      <w:sz w:val="26"/>
      <w:szCs w:val="26"/>
    </w:rPr>
  </w:style>
  <w:style w:type="paragraph" w:styleId="Heading3">
    <w:name w:val="Heading 3"/>
    <w:basedOn w:val="Normal"/>
    <w:next w:val="Normal"/>
    <w:qFormat/>
    <w:pPr>
      <w:spacing w:after="80" w:before="200"/>
      <w:outlineLvl w:val="2"/>
    </w:pPr>
    <w:rPr>
      <w:rFonts w:ascii="Calibri" w:cs="Calibri" w:eastAsia="Calibri" w:hAnsi="Calibri"/>
      <w:b/>
      <w:bCs/>
      <w:color w:val="37415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Ward7 Style &amp; Process</dc:title>
  <dc:creator>Ward7</dc:creator>
  <cp:lastModifiedBy>Un-named</cp:lastModifiedBy>
  <cp:revision>1</cp:revision>
  <dcterms:created xsi:type="dcterms:W3CDTF">2026-05-05T06:59:39.389Z</dcterms:created>
  <dcterms:modified xsi:type="dcterms:W3CDTF">2026-05-05T06:59:39.389Z</dcterms:modified>
</cp:coreProperties>
</file>

<file path=docProps/custom.xml><?xml version="1.0" encoding="utf-8"?>
<Properties xmlns="http://schemas.openxmlformats.org/officeDocument/2006/custom-properties" xmlns:vt="http://schemas.openxmlformats.org/officeDocument/2006/docPropsVTypes"/>
</file>