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Ward7 References Style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In-text citation and reference list formatting</w:t>
      </w:r>
    </w:p>
    <w:p>
      <w:pPr>
        <w:spacing w:after="240"/>
      </w:pPr>
      <w:r>
        <w:rPr>
          <w:i/>
          <w:iCs/>
          <w:color w:val="777777"/>
        </w:rPr>
        <w:t xml:space="preserve">Faithful extract from Ward7’s working March 2026 house style.</w:t>
      </w:r>
    </w:p>
    <w:p>
      <w:pPr>
        <w:spacing w:after="120"/>
      </w:pPr>
      <w:r>
        <w:t xml:space="preserve">This document covers Ward7’s reference conventions: in-text citation at draft and final stages, and reference list format for journals, books, unpublished data, and websites.</w:t>
      </w:r>
    </w:p>
    <w:p>
      <w:pPr>
        <w:spacing w:after="120"/>
      </w:pPr>
      <w:r>
        <w:t xml:space="preserve">Ward7 uses a two-stage citation convention (draft = [author year]; final = superscript number). Ward6 has a different reference format and a different in-text convention; cross-team consolidation will happen later.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Key points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house style unless client prefers otherwise.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‘draft’ house style until final stage before layout or finalisation/approval.</w:t>
      </w:r>
    </w:p>
    <w:p>
      <w:pPr>
        <w:pStyle w:val="Heading1"/>
        <w:spacing w:after="180" w:before="360"/>
      </w:pPr>
      <w:r>
        <w:t xml:space="preserve">In-text reference citation</w:t>
      </w:r>
    </w:p>
    <w:p>
      <w:pPr>
        <w:pStyle w:val="Heading2"/>
        <w:spacing w:after="120" w:before="280"/>
      </w:pPr>
      <w:r>
        <w:t xml:space="preserve">Draft stage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At draft stage the reference citations should be kept as [author year] eg [Jones 2012] after the punctuation in the text.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reference list should appear in alphabetical order.</w:t>
      </w:r>
    </w:p>
    <w:p>
      <w:pPr>
        <w:pStyle w:val="Heading2"/>
        <w:spacing w:after="120" w:before="280"/>
      </w:pPr>
      <w:r>
        <w:t xml:space="preserve">Final stage / before layout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 house style, references are numbered in the text with a superscript number appearing after the punctuation mark.</w:t>
      </w:r>
    </w:p>
    <w:p>
      <w:pPr>
        <w:spacing w:after="120"/>
      </w:pPr>
      <w:r>
        <w:rPr>
          <w:sz w:val="22"/>
          <w:szCs w:val="22"/>
        </w:rPr>
        <w:t xml:space="preserve">     … until the end of the study.</w:t>
      </w:r>
    </w:p>
    <w:p>
      <w:pPr>
        <w:spacing w:after="120"/>
      </w:pPr>
      <w:r>
        <w:rPr>
          <w:sz w:val="22"/>
          <w:szCs w:val="22"/>
        </w:rPr>
        <w:t xml:space="preserve">     </w:t>
      </w:r>
      <w:r>
        <w:rPr>
          <w:sz w:val="22"/>
          <w:szCs w:val="22"/>
          <w:vertAlign w:val="superscript"/>
        </w:rPr>
        <w:t xml:space="preserve">56</w:t>
      </w:r>
      <w:r>
        <w:rPr>
          <w:sz w:val="22"/>
          <w:szCs w:val="22"/>
        </w:rPr>
        <w:t xml:space="preserve"> Patients entered …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References should appear in numerical order in the reference list.</w:t>
      </w:r>
    </w:p>
    <w:p>
      <w:pPr>
        <w:pStyle w:val="Heading1"/>
        <w:spacing w:after="180" w:before="360"/>
      </w:pPr>
      <w:r>
        <w:t xml:space="preserve">Reference list house style</w:t>
      </w:r>
    </w:p>
    <w:p>
      <w:pPr>
        <w:pStyle w:val="Heading2"/>
        <w:spacing w:after="120" w:before="280"/>
      </w:pPr>
      <w:r>
        <w:t xml:space="preserve">Journals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If more than two authors, list first author followed by </w:t>
      </w:r>
      <w:r>
        <w:rPr>
          <w:i/>
          <w:iCs/>
        </w:rPr>
        <w:t xml:space="preserve">et al.</w:t>
      </w:r>
      <w:r>
        <w:t xml:space="preserve"> If two authors, list both.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the abbreviated form of the journal title, as it appears in PubMed.</w:t>
      </w:r>
    </w:p>
    <w:p>
      <w:pPr>
        <w:spacing w:after="120"/>
      </w:pPr>
      <w:r>
        <w:t xml:space="preserve">The year is followed by a semicolon, volume number followed by a colon, and page numbers: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Johnston M </w:t>
      </w:r>
      <w:r>
        <w:rPr>
          <w:i/>
          <w:iCs/>
        </w:rPr>
        <w:t xml:space="preserve">et al.</w:t>
      </w:r>
      <w:r>
        <w:t xml:space="preserve"> J Clin Pharmacol 1992; 4: 215–220.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Johnston M, Smith D. J Clin Pharmacol 1992; 4: 215–220.</w:t>
      </w:r>
    </w:p>
    <w:p>
      <w:pPr>
        <w:pStyle w:val="Heading2"/>
        <w:spacing w:after="120" w:before="280"/>
      </w:pPr>
      <w:r>
        <w:t xml:space="preserve">Books — person as author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Eisen HN. Immunology: an introduction to molecular and cellular principles of the immune response. 5th Ed. New York: Harper and Row, 1974: 406.</w:t>
      </w:r>
    </w:p>
    <w:p>
      <w:pPr>
        <w:pStyle w:val="Heading2"/>
        <w:spacing w:after="120" w:before="280"/>
      </w:pPr>
      <w:r>
        <w:t xml:space="preserve">Books — editor or chairman as author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Dausset J, Columbani J, eds. Histocompatibility testing 1972. Copenhagen: Munksgaard, 1973: 12–18.</w:t>
      </w:r>
    </w:p>
    <w:p>
      <w:pPr>
        <w:pStyle w:val="Heading2"/>
        <w:spacing w:after="120" w:before="280"/>
      </w:pPr>
      <w:r>
        <w:t xml:space="preserve">Books — chapter in a book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Weinstein L, Swartz MN. Pathogenic properties of invading micro-organisms. In: Sodeman WA, Sodeman SJ, eds. Pathologic physiology: mechanisms of disease. Philadelphia: WB Saunders, 1974: 457–462.</w:t>
      </w:r>
    </w:p>
    <w:p>
      <w:pPr>
        <w:pStyle w:val="Heading2"/>
        <w:spacing w:after="120" w:before="280"/>
      </w:pPr>
      <w:r>
        <w:t xml:space="preserve">Unpublished data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Data on file. SmithKline Beecham Pharmaceuticals.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Smith A, Jones B. Coronary heart disease — risk factors. Cardiology 1994; in press.</w:t>
      </w:r>
    </w:p>
    <w:p>
      <w:pPr>
        <w:pStyle w:val="Heading2"/>
        <w:spacing w:after="120" w:before="280"/>
      </w:pPr>
      <w:r>
        <w:t xml:space="preserve">Websites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Need to include author, title, URL and date accessed.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Websites used as references should be reputable and stable so others can access them at a later date. If the web address is long (eg includes a long list of backslash sub-addresses) just use the main website address.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Smith A. Coronary heart disease — risk factors. www.cardiology.com (accessed 14 April 2023).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Alzheimer’s Australia. About dementia. www.fightdementia.org.au (accessed 21 March 2023).</w:t>
      </w:r>
    </w:p>
    <w:p>
      <w:pPr>
        <w:spacing w:after="120"/>
      </w:pPr>
      <w:r>
        <w:t xml:space="preserve">For a download from a website (eg a downloadable pdf information booklet):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Alzheimer’s Australia. 2023. About dementia booklet. Available at www.fightdementia.org.au (accessed 21 March 2023).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rPr>
          <w:b/>
          <w:bCs/>
        </w:rPr>
        <w:t xml:space="preserve">Ward7 House Style</w:t>
      </w:r>
      <w:r>
        <w:t xml:space="preserve"> — qualifier and footnote rules apply alongside reference citations (asterisks for statistical significance; †‡#§ for non-statistical footnotes).</w:t>
      </w:r>
    </w:p>
    <w:p>
      <w:pPr>
        <w:spacing w:after="120"/>
      </w:pPr>
      <w:r>
        <w:rPr>
          <w:b/>
          <w:bCs/>
        </w:rPr>
        <w:t xml:space="preserve">Ward7 Compliance &amp; Regulatory Framing</w:t>
      </w:r>
      <w:r>
        <w:t xml:space="preserve"> — claims substantiation requires references; this document defines the format.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Ward7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Ward7 Style &amp; Process</dc:title>
  <dc:creator>Ward7</dc:creator>
  <cp:lastModifiedBy>Un-named</cp:lastModifiedBy>
  <cp:revision>1</cp:revision>
  <dcterms:created xsi:type="dcterms:W3CDTF">2026-05-05T06:59:39.264Z</dcterms:created>
  <dcterms:modified xsi:type="dcterms:W3CDTF">2026-05-05T06:59:39.264Z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