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left"/>
      </w:pPr>
      <w:r>
        <w:rPr>
          <w:b/>
          <w:bCs/>
          <w:sz w:val="44"/>
          <w:szCs w:val="44"/>
        </w:rPr>
        <w:t xml:space="preserve">Ward7 Production Workflow</w:t>
      </w:r>
    </w:p>
    <w:p>
      <w:pPr>
        <w:spacing w:after="120"/>
      </w:pPr>
      <w:r>
        <w:rPr>
          <w:color w:val="555555"/>
          <w:sz w:val="28"/>
          <w:szCs w:val="28"/>
        </w:rPr>
        <w:t xml:space="preserve">Copy documents, layout instructions, version control</w:t>
      </w:r>
    </w:p>
    <w:p>
      <w:pPr>
        <w:spacing w:after="240"/>
      </w:pPr>
      <w:r>
        <w:rPr>
          <w:i/>
          <w:iCs/>
          <w:color w:val="777777"/>
        </w:rPr>
        <w:t xml:space="preserve">Faithful extract from Ward7’s working March 2026 house style.</w:t>
      </w:r>
    </w:p>
    <w:p>
      <w:pPr>
        <w:spacing w:after="120"/>
      </w:pPr>
      <w:r>
        <w:t xml:space="preserve">This document captures Ward7’s production conventions: which template to use, when Word vs PowerPoint is preferred, how to mark layout instructions, and how versions are numbered. Content is preserved from Ward7’s working house style. Yellow-highlighted sections are PROPOSED for the team to consider.</w:t>
      </w:r>
    </w:p>
    <w:p>
      <w:pPr>
        <w:spacing w:after="120"/>
      </w:pPr>
      <w:r>
        <w:t xml:space="preserve">Ward7’s version control convention (0.1, 0.2, 1, 1.1, 2) is intentionally different from Ward6’s (v1, v1b, v2). Cross-team alignment will happen later if needed.</w:t>
      </w:r>
    </w:p>
    <w:p>
      <w:pPr>
        <w:pBdr>
          <w:bottom w:val="single" w:color="999999" w:sz="6" w:space="1"/>
        </w:pBdr>
        <w:spacing w:after="240"/>
      </w:pPr>
    </w:p>
    <w:p>
      <w:pPr>
        <w:pStyle w:val="Heading1"/>
        <w:spacing w:after="180" w:before="360"/>
      </w:pPr>
      <w:r>
        <w:t xml:space="preserve">Copy documents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the Ward7 Word copy document template to create copy documents.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PowerPoint copy docs are preferred in specific instances (eg eDetailers) because they give more control over layout of content.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Where possible, one page of copy/images should equate to one page of print layout.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If your Word doc copy extends over more than one page, it is unlikely to fit easily into a single layout page.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sentence case for all headers and sub-headers — eg “Treatment options in paediatric IBD” (not “Treatment Options in Paediatric IBD”).</w:t>
      </w:r>
    </w:p>
    <w:p>
      <w:pPr>
        <w:pStyle w:val="Heading1"/>
        <w:spacing w:after="180" w:before="360"/>
      </w:pPr>
      <w:r>
        <w:t xml:space="preserve">Layout instructions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italics in double brackets to indicate notes for layout, eg ((footnote)).</w:t>
      </w:r>
    </w:p>
    <w:p>
      <w:pPr>
        <w:pStyle w:val="Heading1"/>
        <w:spacing w:after="180" w:before="360"/>
      </w:pPr>
      <w:r>
        <w:t xml:space="preserve">Version control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Internal amends are numbered using decimal places; version number is updated to next whole number when sent to client. For example: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version 0.1, 0.2, 0.3 etc for versions of a copy document created and revised internally before it is sent to the client.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version number 1 for the first version sent to the client.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Subsequent internal amends should be numbered 1.1, 1.2, etc.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Next client version numbered 2.</w:t>
      </w:r>
    </w:p>
    <w:p>
      <w:pPr>
        <w:pStyle w:val="Heading1"/>
        <w:spacing w:after="180" w:before="360"/>
      </w:pPr>
      <w:r>
        <w:t xml:space="preserve">Proposed additions  [for Ward7 team review]</w:t>
      </w:r>
    </w:p>
    <w:p>
      <w:pPr>
        <w:pStyle w:val="Heading2"/>
        <w:spacing w:after="120" w:before="280"/>
      </w:pPr>
      <w:r>
        <w:rPr>
          <w:highlight w:val="yellow"/>
          <w:highlightCs w:val="yellow"/>
        </w:rPr>
        <w:t xml:space="preserve">[PROPOSED] File paths and reference saving</w:t>
      </w:r>
    </w:p>
    <w:p>
      <w:pPr>
        <w:spacing w:after="120"/>
      </w:pPr>
      <w:r>
        <w:rPr>
          <w:highlight w:val="yellow"/>
          <w:highlightCs w:val="yellow"/>
        </w:rPr>
        <w:t xml:space="preserve">Ward7’s current document doesn’t cover where files live. The team is asked to confirm: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Where copy doc templates are stored (network drive path or cloud equivalent).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Where reference PDFs for each brand are saved.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Where job-specific marked-up references should sit relative to brand-level references.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The standard project folder structure (client → brand → job) Ward7 uses.</w:t>
      </w:r>
    </w:p>
    <w:p>
      <w:pPr>
        <w:pStyle w:val="Heading2"/>
        <w:spacing w:after="120" w:before="280"/>
      </w:pPr>
      <w:r>
        <w:rPr>
          <w:highlight w:val="yellow"/>
          <w:highlightCs w:val="yellow"/>
        </w:rPr>
        <w:t xml:space="preserve">[PROPOSED] Reference management software</w:t>
      </w:r>
    </w:p>
    <w:p>
      <w:pPr>
        <w:spacing w:after="120"/>
      </w:pPr>
      <w:r>
        <w:rPr>
          <w:highlight w:val="yellow"/>
          <w:highlightCs w:val="yellow"/>
        </w:rPr>
        <w:t xml:space="preserve">The team is asked to confirm: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Does Ward7 use EndNote, Zotero, or another reference manager? (Ward6’s working set assumes EndNote.)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If a tool is used, where the master reference library lives and how it’s kept current.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highlight w:val="yellow"/>
          <w:highlightCs w:val="yellow"/>
        </w:rPr>
        <w:t xml:space="preserve">Process for adding new references identified during a job back to the brand-level library.</w:t>
      </w:r>
    </w:p>
    <w:p>
      <w:pPr>
        <w:pStyle w:val="Heading2"/>
        <w:spacing w:after="120" w:before="280"/>
      </w:pPr>
      <w:r>
        <w:rPr>
          <w:highlight w:val="yellow"/>
          <w:highlightCs w:val="yellow"/>
        </w:rPr>
        <w:t xml:space="preserve">[PROPOSED] Filename convention</w:t>
      </w:r>
    </w:p>
    <w:p>
      <w:pPr>
        <w:spacing w:after="120"/>
      </w:pPr>
      <w:r>
        <w:rPr>
          <w:highlight w:val="yellow"/>
          <w:highlightCs w:val="yellow"/>
        </w:rPr>
        <w:t xml:space="preserve">Ward7’s house style covers version numbers but not the full filename pattern. Ward6 uses [job number] [job name] v[X] YYMMDD. Ward7 to confirm preferred pattern.</w:t>
      </w:r>
    </w:p>
    <w:p>
      <w:pPr>
        <w:pStyle w:val="Heading2"/>
        <w:spacing w:after="120" w:before="280"/>
      </w:pPr>
      <w:r>
        <w:rPr>
          <w:highlight w:val="yellow"/>
          <w:highlightCs w:val="yellow"/>
        </w:rPr>
        <w:t xml:space="preserve">[PROPOSED] Highlighting changes between versions</w:t>
      </w:r>
    </w:p>
    <w:p>
      <w:pPr>
        <w:spacing w:after="120"/>
      </w:pPr>
      <w:r>
        <w:rPr>
          <w:highlight w:val="yellow"/>
          <w:highlightCs w:val="yellow"/>
        </w:rPr>
        <w:t xml:space="preserve">Should writers visibly highlight changes in the copy doc when issuing a new version (and remove the previous highlight)? Ward6 does this; Ward7 to confirm.</w:t>
      </w:r>
    </w:p>
    <w:p>
      <w:pPr>
        <w:pStyle w:val="Heading1"/>
        <w:spacing w:after="180" w:before="360"/>
      </w:pPr>
      <w:r>
        <w:t xml:space="preserve">Companion documents</w:t>
      </w:r>
    </w:p>
    <w:p>
      <w:pPr>
        <w:spacing w:after="120"/>
      </w:pPr>
      <w:r>
        <w:rPr>
          <w:b/>
          <w:bCs/>
        </w:rPr>
        <w:t xml:space="preserve">Ward7 House Style</w:t>
      </w:r>
      <w:r>
        <w:t xml:space="preserve"> — sentence-case rule for headers, fonts and spacing also apply at template level.</w:t>
      </w:r>
    </w:p>
    <w:p>
      <w:pPr>
        <w:spacing w:after="120"/>
      </w:pPr>
      <w:r>
        <w:rPr>
          <w:b/>
          <w:bCs/>
        </w:rPr>
        <w:t xml:space="preserve">Ward7 References Style</w:t>
      </w:r>
      <w:r>
        <w:t xml:space="preserve"> — citation format for finished documents.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77777"/>
        <w:sz w:val="18"/>
        <w:szCs w:val="18"/>
      </w:rPr>
      <w:t xml:space="preserve">Page </w:t>
    </w:r>
    <w:r>
      <w:rPr>
        <w:color w:val="77777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777777"/>
        <w:sz w:val="18"/>
        <w:szCs w:val="18"/>
      </w:rPr>
      <w:t xml:space="preserve"> of </w:t>
    </w:r>
    <w:r>
      <w:rPr>
        <w:color w:val="77777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777777"/>
        <w:sz w:val="18"/>
        <w:szCs w:val="18"/>
      </w:rPr>
      <w:t xml:space="preserve">Ward7  |  Style &amp;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F2937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Calibri" w:cs="Calibri" w:eastAsia="Calibri" w:hAnsi="Calibri"/>
      <w:b/>
      <w:bC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Ward7 Style &amp; Process</dc:title>
  <dc:creator>Ward7</dc:creator>
  <cp:lastModifiedBy>Un-named</cp:lastModifiedBy>
  <cp:revision>1</cp:revision>
  <dcterms:created xsi:type="dcterms:W3CDTF">2026-05-05T06:59:39.327Z</dcterms:created>
  <dcterms:modified xsi:type="dcterms:W3CDTF">2026-05-05T06:59:39.327Z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