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
        <w:jc w:val="left"/>
      </w:pPr>
      <w:r>
        <w:rPr>
          <w:b/>
          <w:bCs/>
          <w:sz w:val="44"/>
          <w:szCs w:val="44"/>
        </w:rPr>
        <w:t xml:space="preserve">Ward7 House Style</w:t>
      </w:r>
    </w:p>
    <w:p>
      <w:pPr>
        <w:spacing w:after="120"/>
      </w:pPr>
      <w:r>
        <w:rPr>
          <w:color w:val="555555"/>
          <w:sz w:val="28"/>
          <w:szCs w:val="28"/>
        </w:rPr>
        <w:t xml:space="preserve">Mechanics — language, formatting, science conventions</w:t>
      </w:r>
    </w:p>
    <w:p>
      <w:pPr>
        <w:spacing w:after="240"/>
      </w:pPr>
      <w:r>
        <w:rPr>
          <w:i/>
          <w:iCs/>
          <w:color w:val="777777"/>
        </w:rPr>
        <w:t xml:space="preserve">Originally drafted by Ward7 (working version dated August 2023; current revision March 2026). Working copy split from the combined house style for review.</w:t>
      </w:r>
    </w:p>
    <w:p>
      <w:pPr>
        <w:spacing w:after="120"/>
      </w:pPr>
      <w:r>
        <w:t xml:space="preserve">This document covers Ward7’s mechanical rules of writing — abbreviations, brackets and bullet points, fonts, spacing, footnotes, grammar, numbers and units, punctuation, spelling, figures, tables, and a quick-keys appendix. Content is preserved from Ward7’s working March 2026 document.</w:t>
      </w:r>
    </w:p>
    <w:p>
      <w:pPr>
        <w:spacing w:after="120"/>
      </w:pPr>
      <w:r>
        <w:t>It is one of six Ward7 style documents. The full set is listed at the end. References format and copy-document/workflow conventions live in their own companion documents.</w:t>
      </w:r>
    </w:p>
    <w:p>
      <w:pPr>
        <w:spacing w:after="120"/>
      </w:pPr>
      <w:r>
        <w:t xml:space="preserve">Ward6 maintains a parallel set of style documents. The two teams have intentionally different conventions in places (e.g. drug-administration abbreviations, reference formats, version control). Cross-team consolidation will happen later.</w:t>
      </w:r>
    </w:p>
    <w:p>
      <w:pPr>
        <w:pBdr>
          <w:bottom w:val="single" w:color="999999" w:sz="6" w:space="1"/>
        </w:pBdr>
        <w:spacing w:after="240"/>
      </w:pPr>
    </w:p>
    <w:p>
      <w:pPr>
        <w:pStyle w:val="Heading1"/>
        <w:spacing w:after="180" w:before="360"/>
      </w:pPr>
      <w:r>
        <w:t xml:space="preserve">How to read this document</w:t>
      </w:r>
    </w:p>
    <w:p>
      <w:pPr>
        <w:spacing w:after="120"/>
      </w:pPr>
      <w:r>
        <w:t xml:space="preserve">Unhighlighted content is preserved from Ward7’s working house style. Yellow-highlighted content is a PROPOSED ADDITION to topics Ward7’s house style does not currently cover (e.g. inclusive language, a banned-phrases list, a preferred-terms glossary). The team is asked to confirm or amend.</w:t>
      </w:r>
    </w:p>
    <w:p>
      <w:pPr>
        <w:pStyle w:val="Heading1"/>
        <w:spacing w:after="180" w:before="360"/>
      </w:pPr>
      <w:r>
        <w:t xml:space="preserve">Abbreviations</w:t>
      </w:r>
    </w:p>
    <w:p>
      <w:pPr>
        <w:pStyle w:val="ListParagraph"/>
        <w:numPr>
          <w:ilvl w:val="0"/>
          <w:numId w:val="2"/>
        </w:numPr>
        <w:spacing w:after="60"/>
      </w:pPr>
      <w:r>
        <w:t xml:space="preserve">Keep use of abbreviations to a minimum, BUT think about target audience and format of communication.</w:t>
      </w:r>
    </w:p>
    <w:p>
      <w:pPr>
        <w:pStyle w:val="ListParagraph"/>
        <w:numPr>
          <w:ilvl w:val="0"/>
          <w:numId w:val="2"/>
        </w:numPr>
        <w:spacing w:after="60"/>
      </w:pPr>
      <w:r>
        <w:t xml:space="preserve">Abbreviations must always be spelt out on first mention (exceptions include DNA, RNA) unless the first mention is in the header, in which case spell out in the header and at first mention in the text, for example:</w:t>
      </w:r>
    </w:p>
    <w:p>
      <w:pPr>
        <w:spacing w:after="120"/>
      </w:pPr>
      <w:r>
        <w:t xml:space="preserve">    Rescue therapy for acute severe ulcerative colitis</w:t>
      </w:r>
    </w:p>
    <w:p>
      <w:pPr>
        <w:spacing w:after="120"/>
      </w:pPr>
      <w:r>
        <w:t xml:space="preserve">    The role of rescue therapy in acute severe ulcerative colitis (ASUC) is highlighted in new guidelines</w:t>
      </w:r>
    </w:p>
    <w:p>
      <w:pPr>
        <w:pStyle w:val="ListParagraph"/>
        <w:numPr>
          <w:ilvl w:val="0"/>
          <w:numId w:val="2"/>
        </w:numPr>
        <w:spacing w:after="60"/>
      </w:pPr>
      <w:r>
        <w:t xml:space="preserve">Abstracts, tables and figures should all be considered as separate documents for this purpose (eg in a manuscript or white paper).</w:t>
      </w:r>
    </w:p>
    <w:p>
      <w:pPr>
        <w:pStyle w:val="ListParagraph"/>
        <w:numPr>
          <w:ilvl w:val="0"/>
          <w:numId w:val="2"/>
        </w:numPr>
        <w:spacing w:after="60"/>
      </w:pPr>
      <w:r>
        <w:t xml:space="preserve">Punctuation is kept to a minimum (do not use full stops for initials in names etc): ie, eg, UK, BSc, CNS, IV, etc.</w:t>
      </w:r>
    </w:p>
    <w:p>
      <w:pPr>
        <w:pStyle w:val="ListParagraph"/>
        <w:numPr>
          <w:ilvl w:val="0"/>
          <w:numId w:val="2"/>
        </w:numPr>
        <w:spacing w:after="60"/>
      </w:pPr>
      <w:r>
        <w:t xml:space="preserve">Words that end in the last letter of the full word do not require a full stop (vs, Mr, Dr).</w:t>
      </w:r>
    </w:p>
    <w:p>
      <w:pPr>
        <w:pStyle w:val="ListParagraph"/>
        <w:numPr>
          <w:ilvl w:val="0"/>
          <w:numId w:val="2"/>
        </w:numPr>
        <w:spacing w:after="60"/>
      </w:pPr>
      <w:r>
        <w:t xml:space="preserve">Preference is not to use full stops for other abbreviations such as: Prof or Dr.</w:t>
      </w:r>
    </w:p>
    <w:p>
      <w:pPr>
        <w:pStyle w:val="ListParagraph"/>
        <w:numPr>
          <w:ilvl w:val="0"/>
          <w:numId w:val="2"/>
        </w:numPr>
        <w:spacing w:after="60"/>
      </w:pPr>
      <w:r>
        <w:t xml:space="preserve">Use the UK style abbreviations for three times daily (td), twice daily (bd) and once daily (od); spell out if room.</w:t>
      </w:r>
    </w:p>
    <w:p>
      <w:pPr>
        <w:pStyle w:val="ListParagraph"/>
        <w:numPr>
          <w:ilvl w:val="0"/>
          <w:numId w:val="2"/>
        </w:numPr>
        <w:spacing w:after="60"/>
      </w:pPr>
      <w:r>
        <w:t xml:space="preserve">Abbreviations of plural terms have a lower-case ‘s’ and no apostrophe.</w:t>
      </w:r>
    </w:p>
    <w:p>
      <w:pPr>
        <w:pStyle w:val="ListParagraph"/>
        <w:numPr>
          <w:ilvl w:val="0"/>
          <w:numId w:val="2"/>
        </w:numPr>
        <w:spacing w:after="60"/>
      </w:pPr>
      <w:r>
        <w:t xml:space="preserve">Do not define SI units or chemical symbols.</w:t>
      </w:r>
    </w:p>
    <w:p>
      <w:pPr>
        <w:spacing w:after="120"/>
      </w:pPr>
      <w:r>
        <w:t xml:space="preserve">Avoid:</w:t>
      </w:r>
    </w:p>
    <w:p>
      <w:pPr>
        <w:pStyle w:val="ListParagraph"/>
        <w:numPr>
          <w:ilvl w:val="0"/>
          <w:numId w:val="2"/>
        </w:numPr>
        <w:spacing w:after="60"/>
      </w:pPr>
      <w:r>
        <w:t xml:space="preserve">Two-letter abbreviations.</w:t>
      </w:r>
    </w:p>
    <w:p>
      <w:pPr>
        <w:pStyle w:val="ListParagraph"/>
        <w:numPr>
          <w:ilvl w:val="0"/>
          <w:numId w:val="2"/>
        </w:numPr>
        <w:spacing w:after="60"/>
      </w:pPr>
      <w:r>
        <w:t xml:space="preserve">Abbreviations of single words.</w:t>
      </w:r>
    </w:p>
    <w:p>
      <w:pPr>
        <w:pStyle w:val="ListParagraph"/>
        <w:numPr>
          <w:ilvl w:val="0"/>
          <w:numId w:val="2"/>
        </w:numPr>
        <w:spacing w:after="60"/>
      </w:pPr>
      <w:r>
        <w:t xml:space="preserve">Abbreviations not accepted by international bodies.</w:t>
      </w:r>
    </w:p>
    <w:p>
      <w:pPr>
        <w:pStyle w:val="ListParagraph"/>
        <w:numPr>
          <w:ilvl w:val="0"/>
          <w:numId w:val="2"/>
        </w:numPr>
        <w:spacing w:after="60"/>
      </w:pPr>
      <w:r>
        <w:t xml:space="preserve">Abbreviations in titles, headings and keywords.</w:t>
      </w:r>
    </w:p>
    <w:p>
      <w:pPr>
        <w:pStyle w:val="ListParagraph"/>
        <w:numPr>
          <w:ilvl w:val="0"/>
          <w:numId w:val="2"/>
        </w:numPr>
        <w:spacing w:after="60"/>
      </w:pPr>
      <w:r>
        <w:t xml:space="preserve">Abbreviations to do with dose.</w:t>
      </w:r>
    </w:p>
    <w:p>
      <w:pPr>
        <w:pStyle w:val="ListParagraph"/>
        <w:numPr>
          <w:ilvl w:val="0"/>
          <w:numId w:val="2"/>
        </w:numPr>
        <w:spacing w:after="60"/>
      </w:pPr>
      <w:r>
        <w:t xml:space="preserve">eg and ie in body text (acceptable in parentheses, figures and tables).</w:t>
      </w:r>
    </w:p>
    <w:p>
      <w:pPr>
        <w:pStyle w:val="Heading2"/>
        <w:spacing w:after="120" w:before="280"/>
      </w:pPr>
      <w:r>
        <w:t xml:space="preserve">Professional qualifications</w:t>
      </w:r>
    </w:p>
    <w:p>
      <w:pPr>
        <w:spacing w:after="120"/>
      </w:pPr>
      <w:r>
        <w:t xml:space="preserve">Omit professional qualifications from KOL titles unless specifically requested by client/KOL. Do not use full stops in qualifications; separate qualifications in a list with a comma [eg BSc(hons), PhD].</w:t>
      </w:r>
    </w:p>
    <w:p>
      <w:pPr>
        <w:spacing w:after="120"/>
      </w:pPr>
      <w:r>
        <w:t xml:space="preserve">Sequence of professional qualifications:</w:t>
      </w:r>
    </w:p>
    <w:p>
      <w:pPr>
        <w:pStyle w:val="ListParagraph"/>
        <w:numPr>
          <w:ilvl w:val="0"/>
          <w:numId w:val="2"/>
        </w:numPr>
        <w:spacing w:after="60"/>
      </w:pPr>
      <w:r>
        <w:t xml:space="preserve">Decorations</w:t>
      </w:r>
    </w:p>
    <w:p>
      <w:pPr>
        <w:pStyle w:val="ListParagraph"/>
        <w:numPr>
          <w:ilvl w:val="0"/>
          <w:numId w:val="2"/>
        </w:numPr>
        <w:spacing w:after="60"/>
      </w:pPr>
      <w:r>
        <w:t xml:space="preserve">Arts degrees</w:t>
      </w:r>
    </w:p>
    <w:p>
      <w:pPr>
        <w:pStyle w:val="ListParagraph"/>
        <w:numPr>
          <w:ilvl w:val="0"/>
          <w:numId w:val="2"/>
        </w:numPr>
        <w:spacing w:after="60"/>
      </w:pPr>
      <w:r>
        <w:t xml:space="preserve">University degrees</w:t>
      </w:r>
    </w:p>
    <w:p>
      <w:pPr>
        <w:pStyle w:val="ListParagraph"/>
        <w:numPr>
          <w:ilvl w:val="0"/>
          <w:numId w:val="2"/>
        </w:numPr>
        <w:spacing w:after="60"/>
      </w:pPr>
      <w:r>
        <w:t xml:space="preserve">Professional qualifications</w:t>
      </w:r>
    </w:p>
    <w:p>
      <w:pPr>
        <w:pStyle w:val="ListParagraph"/>
        <w:numPr>
          <w:ilvl w:val="0"/>
          <w:numId w:val="2"/>
        </w:numPr>
        <w:spacing w:after="60"/>
      </w:pPr>
      <w:r>
        <w:t xml:space="preserve">Fellowships (in order of foundation of Royal College)</w:t>
      </w:r>
    </w:p>
    <w:p>
      <w:pPr>
        <w:pStyle w:val="ListParagraph"/>
        <w:numPr>
          <w:ilvl w:val="0"/>
          <w:numId w:val="2"/>
        </w:numPr>
        <w:spacing w:after="60"/>
      </w:pPr>
      <w:r>
        <w:t xml:space="preserve">Memberships (in order of foundation of Royal College) — Membership is omitted when fellowship is acquired</w:t>
      </w:r>
    </w:p>
    <w:p>
      <w:pPr>
        <w:pStyle w:val="ListParagraph"/>
        <w:numPr>
          <w:ilvl w:val="0"/>
          <w:numId w:val="2"/>
        </w:numPr>
        <w:spacing w:after="60"/>
      </w:pPr>
      <w:r>
        <w:t xml:space="preserve">Diplomas</w:t>
      </w:r>
    </w:p>
    <w:p>
      <w:pPr>
        <w:spacing w:after="120"/>
      </w:pPr>
      <w:r>
        <w:t xml:space="preserve">NOTE: Qualifying medical degree is usually omitted if member or fellow of Royal College or holds a doctorate of medicine (MD).</w:t>
      </w:r>
    </w:p>
    <w:p>
      <w:pPr>
        <w:spacing w:after="120"/>
      </w:pPr>
      <w:r>
        <w:t xml:space="preserve">Order of foundation of Royal Colleges:</w:t>
      </w:r>
    </w:p>
    <w:p>
      <w:pPr>
        <w:pStyle w:val="ListParagraph"/>
        <w:numPr>
          <w:ilvl w:val="0"/>
          <w:numId w:val="2"/>
        </w:numPr>
        <w:spacing w:after="60"/>
      </w:pPr>
      <w:r>
        <w:t xml:space="preserve">The Royal College of Physicians</w:t>
      </w:r>
    </w:p>
    <w:p>
      <w:pPr>
        <w:pStyle w:val="ListParagraph"/>
        <w:numPr>
          <w:ilvl w:val="0"/>
          <w:numId w:val="2"/>
        </w:numPr>
        <w:spacing w:after="60"/>
      </w:pPr>
      <w:r>
        <w:t xml:space="preserve">The Royal College of Surgeons</w:t>
      </w:r>
    </w:p>
    <w:p>
      <w:pPr>
        <w:pStyle w:val="ListParagraph"/>
        <w:numPr>
          <w:ilvl w:val="0"/>
          <w:numId w:val="2"/>
        </w:numPr>
        <w:spacing w:after="60"/>
      </w:pPr>
      <w:r>
        <w:t xml:space="preserve">The Royal College of Obstetricians and Gynaecologists</w:t>
      </w:r>
    </w:p>
    <w:p>
      <w:pPr>
        <w:pStyle w:val="ListParagraph"/>
        <w:numPr>
          <w:ilvl w:val="0"/>
          <w:numId w:val="2"/>
        </w:numPr>
        <w:spacing w:after="60"/>
      </w:pPr>
      <w:r>
        <w:t xml:space="preserve">The Royal College of General Practitioners</w:t>
      </w:r>
    </w:p>
    <w:p>
      <w:pPr>
        <w:pStyle w:val="ListParagraph"/>
        <w:numPr>
          <w:ilvl w:val="0"/>
          <w:numId w:val="2"/>
        </w:numPr>
        <w:spacing w:after="60"/>
      </w:pPr>
      <w:r>
        <w:t xml:space="preserve">The Royal College of Psychiatrists</w:t>
      </w:r>
    </w:p>
    <w:p>
      <w:pPr>
        <w:pStyle w:val="ListParagraph"/>
        <w:numPr>
          <w:ilvl w:val="0"/>
          <w:numId w:val="2"/>
        </w:numPr>
        <w:spacing w:after="60"/>
      </w:pPr>
      <w:r>
        <w:t xml:space="preserve">The Royal College of Radiologists</w:t>
      </w:r>
    </w:p>
    <w:p>
      <w:pPr>
        <w:pStyle w:val="ListParagraph"/>
        <w:numPr>
          <w:ilvl w:val="0"/>
          <w:numId w:val="2"/>
        </w:numPr>
        <w:spacing w:after="60"/>
      </w:pPr>
      <w:r>
        <w:t xml:space="preserve">The Faculty of Community Medicine</w:t>
      </w:r>
    </w:p>
    <w:p>
      <w:pPr>
        <w:pStyle w:val="Heading1"/>
        <w:spacing w:after="180" w:before="360"/>
      </w:pPr>
      <w:r>
        <w:t xml:space="preserve">Brackets and bullet points</w:t>
      </w:r>
    </w:p>
    <w:p>
      <w:pPr>
        <w:pStyle w:val="Heading2"/>
        <w:spacing w:after="120" w:before="280"/>
      </w:pPr>
      <w:r>
        <w:t xml:space="preserve">Brackets</w:t>
      </w:r>
    </w:p>
    <w:p>
      <w:pPr>
        <w:pStyle w:val="ListParagraph"/>
        <w:numPr>
          <w:ilvl w:val="0"/>
          <w:numId w:val="2"/>
        </w:numPr>
        <w:spacing w:after="60"/>
      </w:pPr>
      <w:r>
        <w:t xml:space="preserve">If a complete sentence falls within brackets, a full stop should be included.</w:t>
      </w:r>
    </w:p>
    <w:p>
      <w:pPr>
        <w:pStyle w:val="ListParagraph"/>
        <w:numPr>
          <w:ilvl w:val="0"/>
          <w:numId w:val="2"/>
        </w:numPr>
        <w:spacing w:after="60"/>
      </w:pPr>
      <w:r>
        <w:t xml:space="preserve">House style use of brackets is ([()]).</w:t>
      </w:r>
    </w:p>
    <w:p>
      <w:pPr>
        <w:pStyle w:val="ListParagraph"/>
        <w:numPr>
          <w:ilvl w:val="0"/>
          <w:numId w:val="2"/>
        </w:numPr>
        <w:spacing w:after="60"/>
      </w:pPr>
      <w:r>
        <w:t xml:space="preserve">Conventional use of brackets is ([{}]).</w:t>
      </w:r>
    </w:p>
    <w:p>
      <w:pPr>
        <w:pStyle w:val="Heading2"/>
        <w:spacing w:after="120" w:before="280"/>
      </w:pPr>
      <w:r>
        <w:t xml:space="preserve">Bullet points</w:t>
      </w:r>
    </w:p>
    <w:p>
      <w:pPr>
        <w:pStyle w:val="ListParagraph"/>
        <w:numPr>
          <w:ilvl w:val="0"/>
          <w:numId w:val="2"/>
        </w:numPr>
        <w:spacing w:after="60"/>
      </w:pPr>
      <w:r>
        <w:t xml:space="preserve">Bullet points are used regularly in slides and posters as they make the information easier to read and digest for readers.</w:t>
      </w:r>
    </w:p>
    <w:p>
      <w:pPr>
        <w:pStyle w:val="ListParagraph"/>
        <w:numPr>
          <w:ilvl w:val="0"/>
          <w:numId w:val="2"/>
        </w:numPr>
        <w:spacing w:after="60"/>
      </w:pPr>
      <w:r>
        <w:t xml:space="preserve">Bullet points should be kept short and concise and can be further split into sub-bullets.</w:t>
      </w:r>
    </w:p>
    <w:p>
      <w:pPr>
        <w:pStyle w:val="ListParagraph"/>
        <w:numPr>
          <w:ilvl w:val="0"/>
          <w:numId w:val="2"/>
        </w:numPr>
        <w:spacing w:after="60"/>
      </w:pPr>
      <w:r>
        <w:t xml:space="preserve">No full stop on bullets.</w:t>
      </w:r>
    </w:p>
    <w:p>
      <w:pPr>
        <w:pStyle w:val="ListParagraph"/>
        <w:numPr>
          <w:ilvl w:val="0"/>
          <w:numId w:val="2"/>
        </w:numPr>
        <w:spacing w:after="60"/>
      </w:pPr>
      <w:r>
        <w:t xml:space="preserve">Main bullet points are Wingdings circles at 100% of text.</w:t>
      </w:r>
    </w:p>
    <w:p>
      <w:pPr>
        <w:pStyle w:val="ListParagraph"/>
        <w:numPr>
          <w:ilvl w:val="0"/>
          <w:numId w:val="2"/>
        </w:numPr>
        <w:spacing w:after="60"/>
      </w:pPr>
      <w:r>
        <w:t xml:space="preserve">Sub-bullets are en-dash at 100% of text.</w:t>
      </w:r>
    </w:p>
    <w:p>
      <w:pPr>
        <w:pStyle w:val="ListParagraph"/>
        <w:numPr>
          <w:ilvl w:val="0"/>
          <w:numId w:val="2"/>
        </w:numPr>
        <w:spacing w:after="60"/>
      </w:pPr>
      <w:r>
        <w:t xml:space="preserve">Each bullet point should start with a capital letter.</w:t>
      </w:r>
    </w:p>
    <w:p>
      <w:pPr>
        <w:pStyle w:val="ListParagraph"/>
        <w:numPr>
          <w:ilvl w:val="0"/>
          <w:numId w:val="2"/>
        </w:numPr>
        <w:spacing w:after="60"/>
      </w:pPr>
      <w:r>
        <w:t xml:space="preserve">Sub-bullets may start with a lower-case letter (eg if the content forms part of a phrase or list).</w:t>
      </w:r>
    </w:p>
    <w:p>
      <w:pPr>
        <w:pStyle w:val="ListParagraph"/>
        <w:numPr>
          <w:ilvl w:val="0"/>
          <w:numId w:val="2"/>
        </w:numPr>
        <w:spacing w:after="60"/>
      </w:pPr>
      <w:r>
        <w:t xml:space="preserve">Punctuation should not be used (colons, full stops etc should not be used to split bullets).</w:t>
      </w:r>
    </w:p>
    <w:p>
      <w:pPr>
        <w:pStyle w:val="Heading3"/>
        <w:spacing w:after="80" w:before="200"/>
      </w:pPr>
      <w:r>
        <w:t xml:space="preserve">Special case</w:t>
      </w:r>
    </w:p>
    <w:p>
      <w:pPr>
        <w:pStyle w:val="ListParagraph"/>
        <w:numPr>
          <w:ilvl w:val="0"/>
          <w:numId w:val="2"/>
        </w:numPr>
        <w:spacing w:after="60"/>
      </w:pPr>
      <w:r>
        <w:t xml:space="preserve">Within posters bullets are used to section the text. These bullet points should use punctuation (full stop at the end of each bullet, colons etc).</w:t>
      </w:r>
    </w:p>
    <w:p>
      <w:pPr>
        <w:pStyle w:val="Heading2"/>
        <w:spacing w:after="120" w:before="280"/>
      </w:pPr>
      <w:r>
        <w:t xml:space="preserve">Examples</w:t>
      </w:r>
    </w:p>
    <w:p>
      <w:pPr>
        <w:spacing w:after="120"/>
      </w:pPr>
      <w:r>
        <w:t xml:space="preserve">Standard list:</w:t>
      </w:r>
    </w:p>
    <w:p>
      <w:pPr>
        <w:pStyle w:val="ListParagraph"/>
        <w:numPr>
          <w:ilvl w:val="0"/>
          <w:numId w:val="2"/>
        </w:numPr>
        <w:spacing w:after="60"/>
      </w:pPr>
      <w:r>
        <w:t xml:space="preserve">Ketrax — for all the family</w:t>
      </w:r>
    </w:p>
    <w:p>
      <w:pPr>
        <w:pStyle w:val="ListParagraph"/>
        <w:numPr>
          <w:ilvl w:val="0"/>
          <w:numId w:val="2"/>
        </w:numPr>
        <w:spacing w:after="60"/>
      </w:pPr>
      <w:r>
        <w:t xml:space="preserve">Easy to take single dose</w:t>
      </w:r>
    </w:p>
    <w:p>
      <w:pPr>
        <w:pStyle w:val="ListParagraph"/>
        <w:numPr>
          <w:ilvl w:val="0"/>
          <w:numId w:val="2"/>
        </w:numPr>
        <w:spacing w:after="60"/>
      </w:pPr>
      <w:r>
        <w:t xml:space="preserve">Syrup for children</w:t>
      </w:r>
    </w:p>
    <w:p>
      <w:pPr>
        <w:spacing w:after="120"/>
      </w:pPr>
      <w:r>
        <w:t xml:space="preserve">With sub-bullets:</w:t>
      </w:r>
    </w:p>
    <w:p>
      <w:pPr>
        <w:pStyle w:val="ListParagraph"/>
        <w:numPr>
          <w:ilvl w:val="0"/>
          <w:numId w:val="2"/>
        </w:numPr>
        <w:spacing w:after="60"/>
      </w:pPr>
      <w:r>
        <w:t xml:space="preserve">Ketrax offers</w:t>
      </w:r>
    </w:p>
    <w:p>
      <w:pPr>
        <w:spacing w:after="120"/>
      </w:pPr>
      <w:r>
        <w:t xml:space="preserve">     – easy to take single dose</w:t>
      </w:r>
    </w:p>
    <w:p>
      <w:pPr>
        <w:spacing w:after="120"/>
      </w:pPr>
      <w:r>
        <w:t xml:space="preserve">     – syrup for children</w:t>
      </w:r>
    </w:p>
    <w:p>
      <w:pPr>
        <w:spacing w:after="120"/>
      </w:pPr>
      <w:r>
        <w:t xml:space="preserve">Bullet points preceded by colon:</w:t>
      </w:r>
    </w:p>
    <w:p>
      <w:pPr>
        <w:pStyle w:val="ListParagraph"/>
        <w:numPr>
          <w:ilvl w:val="0"/>
          <w:numId w:val="2"/>
        </w:numPr>
        <w:spacing w:after="60"/>
      </w:pPr>
      <w:r>
        <w:t xml:space="preserve">Ketrax offers:</w:t>
      </w:r>
    </w:p>
    <w:p>
      <w:pPr>
        <w:pStyle w:val="ListParagraph"/>
        <w:numPr>
          <w:ilvl w:val="0"/>
          <w:numId w:val="2"/>
        </w:numPr>
        <w:spacing w:after="60"/>
      </w:pPr>
      <w:r>
        <w:t xml:space="preserve">Easy to take single dose</w:t>
      </w:r>
    </w:p>
    <w:p>
      <w:pPr>
        <w:pStyle w:val="ListParagraph"/>
        <w:numPr>
          <w:ilvl w:val="0"/>
          <w:numId w:val="2"/>
        </w:numPr>
        <w:spacing w:after="60"/>
      </w:pPr>
      <w:r>
        <w:t xml:space="preserve">Syrup for children</w:t>
      </w:r>
    </w:p>
    <w:p>
      <w:pPr>
        <w:spacing w:after="120"/>
      </w:pPr>
      <w:r>
        <w:t xml:space="preserve">Bullet points part of sentence (avoid wherever possible):</w:t>
      </w:r>
    </w:p>
    <w:p>
      <w:pPr>
        <w:spacing w:after="120"/>
      </w:pPr>
      <w:r>
        <w:t xml:space="preserve">     Ketrax offers: a) easy to take single dose; and b) syrup for children</w:t>
      </w:r>
    </w:p>
    <w:p>
      <w:pPr>
        <w:pStyle w:val="Heading1"/>
        <w:spacing w:after="180" w:before="360"/>
      </w:pPr>
      <w:r>
        <w:t xml:space="preserve">Fonts</w:t>
      </w:r>
    </w:p>
    <w:p>
      <w:pPr>
        <w:spacing w:after="120"/>
      </w:pPr>
      <w:r>
        <w:t xml:space="preserve">Standard house style fonts are as follows: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BBBBB" w:sz="4"/>
              <w:left w:val="single" w:color="BBBBBB" w:sz="4"/>
              <w:bottom w:val="single" w:color="BBBBBB" w:sz="4"/>
              <w:right w:val="single" w:color="BBBBBB" w:sz="4"/>
            </w:tcBorders>
            <w:shd w:fill="E5E7EB" w:val="clear"/>
            <w:tcMar>
              <w:top w:type="dxa" w:w="60"/>
              <w:left w:type="dxa" w:w="100"/>
              <w:bottom w:type="dxa" w:w="60"/>
              <w:right w:type="dxa" w:w="100"/>
            </w:tcMar>
          </w:tcPr>
          <w:p>
            <w:r>
              <w:rPr>
                <w:b/>
                <w:bCs/>
                <w:sz w:val="18"/>
                <w:szCs w:val="18"/>
              </w:rPr>
              <w:t xml:space="preserve">Document type</w:t>
            </w:r>
          </w:p>
        </w:tc>
        <w:tc>
          <w:tcPr>
            <w:tcW w:type="dxa" w:w="4680"/>
            <w:tcBorders>
              <w:top w:val="single" w:color="BBBBBB" w:sz="4"/>
              <w:left w:val="single" w:color="BBBBBB" w:sz="4"/>
              <w:bottom w:val="single" w:color="BBBBBB" w:sz="4"/>
              <w:right w:val="single" w:color="BBBBBB" w:sz="4"/>
            </w:tcBorders>
            <w:shd w:fill="E5E7EB" w:val="clear"/>
            <w:tcMar>
              <w:top w:type="dxa" w:w="60"/>
              <w:left w:type="dxa" w:w="100"/>
              <w:bottom w:type="dxa" w:w="60"/>
              <w:right w:type="dxa" w:w="100"/>
            </w:tcMar>
          </w:tcPr>
          <w:p>
            <w:r>
              <w:rPr>
                <w:b/>
                <w:bCs/>
                <w:sz w:val="18"/>
                <w:szCs w:val="18"/>
              </w:rPr>
              <w:t xml:space="preserve">Font and size</w:t>
            </w:r>
          </w:p>
        </w:tc>
      </w:tr>
      <w:tr>
        <w:tc>
          <w:tcPr>
            <w:tcW w:type="dxa" w:w="46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Word copy documents — body copy (and other documents)</w:t>
            </w:r>
          </w:p>
        </w:tc>
        <w:tc>
          <w:tcPr>
            <w:tcW w:type="dxa" w:w="46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Arial 11 pt</w:t>
            </w:r>
          </w:p>
        </w:tc>
      </w:tr>
      <w:tr>
        <w:tc>
          <w:tcPr>
            <w:tcW w:type="dxa" w:w="46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Word copy documents — footnotes</w:t>
            </w:r>
          </w:p>
        </w:tc>
        <w:tc>
          <w:tcPr>
            <w:tcW w:type="dxa" w:w="46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Arial 10 pt</w:t>
            </w:r>
          </w:p>
        </w:tc>
      </w:tr>
      <w:tr>
        <w:tc>
          <w:tcPr>
            <w:tcW w:type="dxa" w:w="46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PowerPoint slides — body copy</w:t>
            </w:r>
          </w:p>
        </w:tc>
        <w:tc>
          <w:tcPr>
            <w:tcW w:type="dxa" w:w="46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Arial 16–18 pt</w:t>
            </w:r>
          </w:p>
        </w:tc>
      </w:tr>
      <w:tr>
        <w:tc>
          <w:tcPr>
            <w:tcW w:type="dxa" w:w="46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PowerPoint slides — references</w:t>
            </w:r>
          </w:p>
        </w:tc>
        <w:tc>
          <w:tcPr>
            <w:tcW w:type="dxa" w:w="46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Arial 10–12 pt</w:t>
            </w:r>
          </w:p>
        </w:tc>
      </w:tr>
    </w:tbl>
    <w:p>
      <w:pPr>
        <w:pStyle w:val="Heading1"/>
        <w:spacing w:after="180" w:before="360"/>
      </w:pPr>
      <w:r>
        <w:t xml:space="preserve">Spacing between lines and paragraphs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BBBBB" w:sz="4"/>
              <w:left w:val="single" w:color="BBBBBB" w:sz="4"/>
              <w:bottom w:val="single" w:color="BBBBBB" w:sz="4"/>
              <w:right w:val="single" w:color="BBBBBB" w:sz="4"/>
            </w:tcBorders>
            <w:shd w:fill="E5E7EB" w:val="clear"/>
            <w:tcMar>
              <w:top w:type="dxa" w:w="60"/>
              <w:left w:type="dxa" w:w="100"/>
              <w:bottom w:type="dxa" w:w="60"/>
              <w:right w:type="dxa" w:w="100"/>
            </w:tcMar>
          </w:tcPr>
          <w:p>
            <w:r>
              <w:rPr>
                <w:b/>
                <w:bCs/>
                <w:sz w:val="18"/>
                <w:szCs w:val="18"/>
              </w:rPr>
              <w:t xml:space="preserve">Document type</w:t>
            </w:r>
          </w:p>
        </w:tc>
        <w:tc>
          <w:tcPr>
            <w:tcW w:type="dxa" w:w="4680"/>
            <w:tcBorders>
              <w:top w:val="single" w:color="BBBBBB" w:sz="4"/>
              <w:left w:val="single" w:color="BBBBBB" w:sz="4"/>
              <w:bottom w:val="single" w:color="BBBBBB" w:sz="4"/>
              <w:right w:val="single" w:color="BBBBBB" w:sz="4"/>
            </w:tcBorders>
            <w:shd w:fill="E5E7EB" w:val="clear"/>
            <w:tcMar>
              <w:top w:type="dxa" w:w="60"/>
              <w:left w:type="dxa" w:w="100"/>
              <w:bottom w:type="dxa" w:w="60"/>
              <w:right w:type="dxa" w:w="100"/>
            </w:tcMar>
          </w:tcPr>
          <w:p>
            <w:r>
              <w:rPr>
                <w:b/>
                <w:bCs/>
                <w:sz w:val="18"/>
                <w:szCs w:val="18"/>
              </w:rPr>
              <w:t xml:space="preserve">Spacing</w:t>
            </w:r>
          </w:p>
        </w:tc>
      </w:tr>
      <w:tr>
        <w:tc>
          <w:tcPr>
            <w:tcW w:type="dxa" w:w="46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Word copy documents (and other documents)</w:t>
            </w:r>
          </w:p>
        </w:tc>
        <w:tc>
          <w:tcPr>
            <w:tcW w:type="dxa" w:w="46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1.5 line spacing, 6 pt space before and after paragraphs</w:t>
            </w:r>
          </w:p>
        </w:tc>
      </w:tr>
      <w:tr>
        <w:tc>
          <w:tcPr>
            <w:tcW w:type="dxa" w:w="46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Footnotes</w:t>
            </w:r>
          </w:p>
        </w:tc>
        <w:tc>
          <w:tcPr>
            <w:tcW w:type="dxa" w:w="46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Single line spacing; no space before or after paragraphs</w:t>
            </w:r>
          </w:p>
        </w:tc>
      </w:tr>
      <w:tr>
        <w:tc>
          <w:tcPr>
            <w:tcW w:type="dxa" w:w="46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Scientific documents (manuscripts, abstracts, posters etc)</w:t>
            </w:r>
          </w:p>
        </w:tc>
        <w:tc>
          <w:tcPr>
            <w:tcW w:type="dxa" w:w="46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Double spacing</w:t>
            </w:r>
          </w:p>
        </w:tc>
      </w:tr>
    </w:tbl>
    <w:p>
      <w:pPr>
        <w:pStyle w:val="Heading1"/>
        <w:spacing w:after="180" w:before="360"/>
      </w:pPr>
      <w:r>
        <w:t xml:space="preserve">Footnotes</w:t>
      </w:r>
    </w:p>
    <w:p>
      <w:pPr>
        <w:pStyle w:val="ListParagraph"/>
        <w:numPr>
          <w:ilvl w:val="0"/>
          <w:numId w:val="2"/>
        </w:numPr>
        <w:spacing w:after="60"/>
      </w:pPr>
      <w:r>
        <w:t xml:space="preserve">Ideally, asterisks should be used as footnotes to denote statistical significance.</w:t>
      </w:r>
    </w:p>
    <w:p>
      <w:pPr>
        <w:spacing w:after="120"/>
      </w:pPr>
      <w:r>
        <w:t xml:space="preserve">     *p&lt;0.05,  **p&lt;0.01,  ***p&lt;0.001</w:t>
      </w:r>
    </w:p>
    <w:p>
      <w:pPr>
        <w:pStyle w:val="ListParagraph"/>
        <w:numPr>
          <w:ilvl w:val="0"/>
          <w:numId w:val="2"/>
        </w:numPr>
        <w:spacing w:after="60"/>
      </w:pPr>
      <w:r>
        <w:t xml:space="preserve">For footnotes use superscript symbols† in the following order:</w:t>
      </w:r>
    </w:p>
    <w:p>
      <w:pPr>
        <w:spacing w:after="120"/>
      </w:pPr>
      <w:r>
        <w:t xml:space="preserve">     †   ‡   #   §</w:t>
      </w:r>
    </w:p>
    <w:p>
      <w:pPr>
        <w:pStyle w:val="ListParagraph"/>
        <w:numPr>
          <w:ilvl w:val="0"/>
          <w:numId w:val="2"/>
        </w:numPr>
        <w:spacing w:after="60"/>
      </w:pPr>
      <w:r>
        <w:t xml:space="preserve">Non-standard abbreviations should be defined in footnotes using house style:</w:t>
      </w:r>
    </w:p>
    <w:p>
      <w:pPr>
        <w:spacing w:after="120"/>
      </w:pPr>
      <w:r>
        <w:t xml:space="preserve">     BMD, bone mineral density; PET, positron emission tomography.</w:t>
      </w:r>
    </w:p>
    <w:p>
      <w:pPr>
        <w:pStyle w:val="ListParagraph"/>
        <w:numPr>
          <w:ilvl w:val="0"/>
          <w:numId w:val="2"/>
        </w:numPr>
        <w:spacing w:after="60"/>
      </w:pPr>
      <w:r>
        <w:t xml:space="preserve">Footnotes should be left-aligned (or aligned with y axis labels of a figure or with left-hand side of table).</w:t>
      </w:r>
    </w:p>
    <w:p>
      <w:pPr>
        <w:pStyle w:val="ListParagraph"/>
        <w:numPr>
          <w:ilvl w:val="0"/>
          <w:numId w:val="2"/>
        </w:numPr>
        <w:spacing w:after="60"/>
      </w:pPr>
      <w:r>
        <w:t xml:space="preserve">†unless there are more than four footnotes, in which case use superscript letters (a, b, c, d, etc).</w:t>
      </w:r>
    </w:p>
    <w:p>
      <w:pPr>
        <w:pStyle w:val="Heading1"/>
        <w:spacing w:after="180" w:before="360"/>
      </w:pPr>
      <w:r>
        <w:t xml:space="preserve">Grammar</w:t>
      </w:r>
    </w:p>
    <w:p>
      <w:pPr>
        <w:pStyle w:val="Heading2"/>
        <w:spacing w:after="120" w:before="280"/>
      </w:pPr>
      <w:r>
        <w:t xml:space="preserve">Apostrophes / possessives</w:t>
      </w:r>
    </w:p>
    <w:p>
      <w:pPr>
        <w:pStyle w:val="ListParagraph"/>
        <w:numPr>
          <w:ilvl w:val="0"/>
          <w:numId w:val="2"/>
        </w:numPr>
        <w:spacing w:after="60"/>
      </w:pPr>
      <w:r>
        <w:t xml:space="preserve">Apostrophes must NOT be used with pronouns: its, theirs, ours.</w:t>
      </w:r>
    </w:p>
    <w:p>
      <w:pPr>
        <w:pStyle w:val="ListParagraph"/>
        <w:numPr>
          <w:ilvl w:val="0"/>
          <w:numId w:val="2"/>
        </w:numPr>
        <w:spacing w:after="60"/>
      </w:pPr>
      <w:r>
        <w:t xml:space="preserve">After 4 days’ treatment [represents 4 days of treatment] — but use alternative wording if possible eg after treatment for 4 days; after 4 days of treatment.</w:t>
      </w:r>
    </w:p>
    <w:p>
      <w:pPr>
        <w:pStyle w:val="ListParagraph"/>
        <w:numPr>
          <w:ilvl w:val="0"/>
          <w:numId w:val="2"/>
        </w:numPr>
        <w:spacing w:after="60"/>
      </w:pPr>
      <w:r>
        <w:t xml:space="preserve">In the 1980s [NOT 1980’s].</w:t>
      </w:r>
    </w:p>
    <w:p>
      <w:pPr>
        <w:pStyle w:val="ListParagraph"/>
        <w:numPr>
          <w:ilvl w:val="0"/>
          <w:numId w:val="2"/>
        </w:numPr>
        <w:spacing w:after="60"/>
      </w:pPr>
      <w:r>
        <w:t xml:space="preserve">Singular possessive, eg Newton’s law of motion (apostrophe appears before the s).</w:t>
      </w:r>
    </w:p>
    <w:p>
      <w:pPr>
        <w:pStyle w:val="ListParagraph"/>
        <w:numPr>
          <w:ilvl w:val="0"/>
          <w:numId w:val="2"/>
        </w:numPr>
        <w:spacing w:after="60"/>
      </w:pPr>
      <w:r>
        <w:t xml:space="preserve">Plural possessive, eg Newspaper Publishers’ Association (apostrophe appears after the s).</w:t>
      </w:r>
    </w:p>
    <w:p>
      <w:pPr>
        <w:pStyle w:val="ListParagraph"/>
        <w:numPr>
          <w:ilvl w:val="0"/>
          <w:numId w:val="2"/>
        </w:numPr>
        <w:spacing w:after="60"/>
      </w:pPr>
      <w:r>
        <w:t xml:space="preserve">Never put trade names into possessive case, eg ‘Seroxat’s excellent record’. It is preferable to reword to avoid this.</w:t>
      </w:r>
    </w:p>
    <w:p>
      <w:pPr>
        <w:pStyle w:val="Heading2"/>
        <w:spacing w:after="120" w:before="280"/>
      </w:pPr>
      <w:r>
        <w:t xml:space="preserve">Hyphenation</w:t>
      </w:r>
    </w:p>
    <w:p>
      <w:pPr>
        <w:spacing w:after="120"/>
      </w:pPr>
      <w:r>
        <w:t xml:space="preserve">The hyphen is used in compound adjectives when they appear before the noun, for example:</w:t>
      </w:r>
    </w:p>
    <w:p>
      <w:pPr>
        <w:pStyle w:val="ListParagraph"/>
        <w:numPr>
          <w:ilvl w:val="0"/>
          <w:numId w:val="2"/>
        </w:numPr>
        <w:spacing w:after="60"/>
      </w:pPr>
      <w:r>
        <w:t xml:space="preserve">An ill-informed patient</w:t>
      </w:r>
    </w:p>
    <w:p>
      <w:pPr>
        <w:pStyle w:val="ListParagraph"/>
        <w:numPr>
          <w:ilvl w:val="0"/>
          <w:numId w:val="2"/>
        </w:numPr>
        <w:spacing w:after="60"/>
      </w:pPr>
      <w:r>
        <w:t xml:space="preserve">The long-term treatment</w:t>
      </w:r>
    </w:p>
    <w:p>
      <w:pPr>
        <w:pStyle w:val="ListParagraph"/>
        <w:numPr>
          <w:ilvl w:val="0"/>
          <w:numId w:val="2"/>
        </w:numPr>
        <w:spacing w:after="60"/>
      </w:pPr>
      <w:r>
        <w:t xml:space="preserve">A double-blind trial</w:t>
      </w:r>
    </w:p>
    <w:p>
      <w:pPr>
        <w:pStyle w:val="ListParagraph"/>
        <w:numPr>
          <w:ilvl w:val="0"/>
          <w:numId w:val="2"/>
        </w:numPr>
        <w:spacing w:after="60"/>
      </w:pPr>
      <w:r>
        <w:t xml:space="preserve">The side-effect profile</w:t>
      </w:r>
    </w:p>
    <w:p>
      <w:pPr>
        <w:spacing w:after="120"/>
      </w:pPr>
      <w:r>
        <w:t xml:space="preserve">Note, however, that no hyphen is needed when the compound adjective appears after the noun:</w:t>
      </w:r>
    </w:p>
    <w:p>
      <w:pPr>
        <w:pStyle w:val="ListParagraph"/>
        <w:numPr>
          <w:ilvl w:val="0"/>
          <w:numId w:val="2"/>
        </w:numPr>
        <w:spacing w:after="60"/>
      </w:pPr>
      <w:r>
        <w:t xml:space="preserve">A fact that is well known</w:t>
      </w:r>
    </w:p>
    <w:p>
      <w:pPr>
        <w:pStyle w:val="ListParagraph"/>
        <w:numPr>
          <w:ilvl w:val="0"/>
          <w:numId w:val="2"/>
        </w:numPr>
        <w:spacing w:after="60"/>
      </w:pPr>
      <w:r>
        <w:t xml:space="preserve">A patient who is ill informed</w:t>
      </w:r>
    </w:p>
    <w:p>
      <w:pPr>
        <w:pStyle w:val="ListParagraph"/>
        <w:numPr>
          <w:ilvl w:val="0"/>
          <w:numId w:val="2"/>
        </w:numPr>
        <w:spacing w:after="60"/>
      </w:pPr>
      <w:r>
        <w:t xml:space="preserve">This group reported the most side effects</w:t>
      </w:r>
    </w:p>
    <w:p>
      <w:pPr>
        <w:spacing w:after="120"/>
      </w:pPr>
      <w:r>
        <w:t xml:space="preserve">No hyphen is needed after an adverb ending in -ly, since the meaning is clear:</w:t>
      </w:r>
    </w:p>
    <w:p>
      <w:pPr>
        <w:pStyle w:val="ListParagraph"/>
        <w:numPr>
          <w:ilvl w:val="0"/>
          <w:numId w:val="2"/>
        </w:numPr>
        <w:spacing w:after="60"/>
      </w:pPr>
      <w:r>
        <w:t xml:space="preserve">Echocardiographically determined hypertrophy</w:t>
      </w:r>
    </w:p>
    <w:p>
      <w:pPr>
        <w:spacing w:after="120"/>
      </w:pPr>
      <w:r>
        <w:t xml:space="preserve">Use suspended hyphens only when absolutely necessary to avoid confusion:</w:t>
      </w:r>
    </w:p>
    <w:p>
      <w:pPr>
        <w:pStyle w:val="ListParagraph"/>
        <w:numPr>
          <w:ilvl w:val="0"/>
          <w:numId w:val="2"/>
        </w:numPr>
        <w:spacing w:after="60"/>
      </w:pPr>
      <w:r>
        <w:t xml:space="preserve">Once- or twice-daily treatment</w:t>
      </w:r>
    </w:p>
    <w:p>
      <w:pPr>
        <w:spacing w:after="120"/>
      </w:pPr>
      <w:r>
        <w:t xml:space="preserve">Hyphens should be used to avoid ambiguity:</w:t>
      </w:r>
    </w:p>
    <w:p>
      <w:pPr>
        <w:pStyle w:val="ListParagraph"/>
        <w:numPr>
          <w:ilvl w:val="0"/>
          <w:numId w:val="2"/>
        </w:numPr>
        <w:spacing w:after="60"/>
      </w:pPr>
      <w:r>
        <w:t xml:space="preserve">A small-bowel constriction, not a small bowel constriction</w:t>
      </w:r>
    </w:p>
    <w:p>
      <w:pPr>
        <w:pStyle w:val="ListParagraph"/>
        <w:numPr>
          <w:ilvl w:val="0"/>
          <w:numId w:val="2"/>
        </w:numPr>
        <w:spacing w:after="60"/>
      </w:pPr>
      <w:r>
        <w:t xml:space="preserve">Re-treat, not retreat</w:t>
      </w:r>
    </w:p>
    <w:p>
      <w:pPr>
        <w:spacing w:after="120"/>
      </w:pPr>
      <w:r>
        <w:t xml:space="preserve">Think about the meaning before inserting the hyphen.</w:t>
      </w:r>
    </w:p>
    <w:p>
      <w:pPr>
        <w:spacing w:after="120"/>
      </w:pPr>
      <w:r>
        <w:t xml:space="preserve">Use hyphens with numerals but not with spelled-out numbers:</w:t>
      </w:r>
    </w:p>
    <w:p>
      <w:pPr>
        <w:pStyle w:val="ListParagraph"/>
        <w:numPr>
          <w:ilvl w:val="0"/>
          <w:numId w:val="2"/>
        </w:numPr>
        <w:spacing w:after="60"/>
      </w:pPr>
      <w:r>
        <w:t xml:space="preserve">14-fold, tenfold</w:t>
      </w:r>
    </w:p>
    <w:p>
      <w:pPr>
        <w:spacing w:after="120"/>
      </w:pPr>
      <w:r>
        <w:t xml:space="preserve">Follow the dictionary when using hyphens with prefixes (anti, pre, post etc). Generally, we only insert a hyphen when the word after the prefix starts with the letter a, e, or i, or to avoid introducing a double letter. The exception to this is pre-treatment, which should be hyphenated to match post-treatment.</w:t>
      </w:r>
    </w:p>
    <w:p>
      <w:pPr>
        <w:spacing w:after="120"/>
      </w:pPr>
      <w:r>
        <w:t xml:space="preserve">Use the following style for these compound words: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audiovisual</w:t>
            </w:r>
          </w:p>
        </w:tc>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inpatient</w:t>
            </w:r>
          </w:p>
        </w:tc>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inpatient</w:t>
            </w:r>
          </w:p>
        </w:tc>
      </w:tr>
      <w:tr>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dose-limiting toxicity</w:t>
            </w:r>
          </w:p>
        </w:tc>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outpatient</w:t>
            </w:r>
          </w:p>
        </w:tc>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email</w:t>
            </w:r>
          </w:p>
        </w:tc>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proactive</w:t>
            </w:r>
          </w:p>
        </w:tc>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proactive</w:t>
            </w:r>
          </w:p>
        </w:tc>
      </w:tr>
      <w:tr>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endpoint</w:t>
            </w:r>
          </w:p>
        </w:tc>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side effects (but side-effect profile)</w:t>
            </w:r>
          </w:p>
        </w:tc>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side effects (but side-effect profile)</w:t>
            </w:r>
          </w:p>
        </w:tc>
      </w:tr>
      <w:tr>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evidence-based medicine</w:t>
            </w:r>
          </w:p>
        </w:tc>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website</w:t>
            </w:r>
          </w:p>
        </w:tc>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website</w:t>
            </w:r>
          </w:p>
        </w:tc>
      </w:tr>
      <w:tr>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follow up</w:t>
            </w:r>
          </w:p>
        </w:tc>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wellbeing</w:t>
            </w:r>
          </w:p>
        </w:tc>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wellbeing</w:t>
            </w:r>
          </w:p>
        </w:tc>
      </w:tr>
      <w:tr>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half-life</w:t>
            </w:r>
          </w:p>
        </w:tc>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worldwide (but World Wide Web)</w:t>
            </w:r>
          </w:p>
        </w:tc>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worldwide (but World Wide Web)</w:t>
            </w:r>
          </w:p>
        </w:tc>
      </w:tr>
      <w:tr>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healthcare</w:t>
            </w:r>
          </w:p>
        </w:tc>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X-ray</w:t>
            </w:r>
          </w:p>
        </w:tc>
        <w:tc>
          <w:tcPr>
            <w:tcW w:type="dxa" w:w="312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X-ray</w:t>
            </w:r>
          </w:p>
        </w:tc>
      </w:tr>
    </w:tbl>
    <w:p>
      <w:pPr>
        <w:pStyle w:val="Heading3"/>
        <w:spacing w:after="80" w:before="200"/>
      </w:pPr>
      <w:r>
        <w:t xml:space="preserve">Breaking hyphens (in printed items)</w:t>
      </w:r>
    </w:p>
    <w:p>
      <w:pPr>
        <w:pStyle w:val="ListParagraph"/>
        <w:numPr>
          <w:ilvl w:val="0"/>
          <w:numId w:val="2"/>
        </w:numPr>
        <w:spacing w:after="60"/>
      </w:pPr>
      <w:r>
        <w:t xml:space="preserve">Keep end-of-line hyphenation to a minimum. In word text use non-breaking space (ctrl, shift, space bar all pressed together [PC] or alt/option space [MAC]) not soft returns to keep numbers with units.</w:t>
      </w:r>
    </w:p>
    <w:p>
      <w:pPr>
        <w:spacing w:after="120"/>
      </w:pPr>
      <w:r>
        <w:t xml:space="preserve">If you do need to hyphenate, follow the general rules below:</w:t>
      </w:r>
    </w:p>
    <w:p>
      <w:pPr>
        <w:pStyle w:val="ListParagraph"/>
        <w:numPr>
          <w:ilvl w:val="0"/>
          <w:numId w:val="2"/>
        </w:numPr>
        <w:spacing w:after="60"/>
      </w:pPr>
      <w:r>
        <w:t xml:space="preserve">Don’t break to produce an unpronounceable syllable (eg apostr-ophe).</w:t>
      </w:r>
    </w:p>
    <w:p>
      <w:pPr>
        <w:pStyle w:val="ListParagraph"/>
        <w:numPr>
          <w:ilvl w:val="0"/>
          <w:numId w:val="2"/>
        </w:numPr>
        <w:spacing w:after="60"/>
      </w:pPr>
      <w:r>
        <w:t xml:space="preserve">Don’t break single-syllable words (eg aimed, helped) or endings that are one sound (eg -gious).</w:t>
      </w:r>
    </w:p>
    <w:p>
      <w:pPr>
        <w:pStyle w:val="ListParagraph"/>
        <w:numPr>
          <w:ilvl w:val="0"/>
          <w:numId w:val="2"/>
        </w:numPr>
        <w:spacing w:after="60"/>
      </w:pPr>
      <w:r>
        <w:t xml:space="preserve">Don’t split off very short syllables (eg -ble).</w:t>
      </w:r>
    </w:p>
    <w:p>
      <w:pPr>
        <w:pStyle w:val="ListParagraph"/>
        <w:numPr>
          <w:ilvl w:val="0"/>
          <w:numId w:val="2"/>
        </w:numPr>
        <w:spacing w:after="60"/>
      </w:pPr>
      <w:r>
        <w:t xml:space="preserve">Don’t break to give a misleading appearance (eg wo-men, of-ten, the-rapist, read-just).</w:t>
      </w:r>
    </w:p>
    <w:p>
      <w:pPr>
        <w:pStyle w:val="ListParagraph"/>
        <w:numPr>
          <w:ilvl w:val="0"/>
          <w:numId w:val="2"/>
        </w:numPr>
        <w:spacing w:after="60"/>
      </w:pPr>
      <w:r>
        <w:t xml:space="preserve">Don’t create a one-letter division (eg e-ven).</w:t>
      </w:r>
    </w:p>
    <w:p>
      <w:pPr>
        <w:pStyle w:val="ListParagraph"/>
        <w:numPr>
          <w:ilvl w:val="0"/>
          <w:numId w:val="2"/>
        </w:numPr>
        <w:spacing w:after="60"/>
      </w:pPr>
      <w:r>
        <w:t xml:space="preserve">Avoid carrying over or bringing back two letters unless they are a prefix.</w:t>
      </w:r>
    </w:p>
    <w:p>
      <w:pPr>
        <w:pStyle w:val="ListParagraph"/>
        <w:numPr>
          <w:ilvl w:val="0"/>
          <w:numId w:val="2"/>
        </w:numPr>
        <w:spacing w:after="60"/>
      </w:pPr>
      <w:r>
        <w:t xml:space="preserve">Break after a prefix rather than near one (eg de-mystify, not demys-tify).</w:t>
      </w:r>
    </w:p>
    <w:p>
      <w:pPr>
        <w:pStyle w:val="ListParagraph"/>
        <w:numPr>
          <w:ilvl w:val="0"/>
          <w:numId w:val="2"/>
        </w:numPr>
        <w:spacing w:after="60"/>
      </w:pPr>
      <w:r>
        <w:t xml:space="preserve">Avoid creating hyphens in a phrase (eg avoid pov-erty-stricken).</w:t>
      </w:r>
    </w:p>
    <w:p>
      <w:pPr>
        <w:pStyle w:val="ListParagraph"/>
        <w:numPr>
          <w:ilvl w:val="0"/>
          <w:numId w:val="2"/>
        </w:numPr>
        <w:spacing w:after="60"/>
      </w:pPr>
      <w:r>
        <w:t xml:space="preserve">Separating two consonants aids pronunciation (eg ad-van-tage or struc-ture). Double consonants are particularly suitable for this (eg run-ning, occur-rence).</w:t>
      </w:r>
    </w:p>
    <w:p>
      <w:pPr>
        <w:pStyle w:val="ListParagraph"/>
        <w:numPr>
          <w:ilvl w:val="0"/>
          <w:numId w:val="2"/>
        </w:numPr>
        <w:spacing w:after="60"/>
      </w:pPr>
      <w:r>
        <w:t xml:space="preserve">If two consonants are not available, try breaking after a vowel (eg criti-cize, concentra-tion).</w:t>
      </w:r>
    </w:p>
    <w:p>
      <w:pPr>
        <w:pStyle w:val="Heading2"/>
        <w:spacing w:after="120" w:before="280"/>
      </w:pPr>
      <w:r>
        <w:t xml:space="preserve">Italics</w:t>
      </w:r>
    </w:p>
    <w:p>
      <w:pPr>
        <w:pStyle w:val="ListParagraph"/>
        <w:numPr>
          <w:ilvl w:val="0"/>
          <w:numId w:val="2"/>
        </w:numPr>
        <w:spacing w:after="60"/>
      </w:pPr>
      <w:r>
        <w:t xml:space="preserve">Italicise all Latin words except for </w:t>
      </w:r>
      <w:r>
        <w:rPr>
          <w:i/>
          <w:iCs/>
        </w:rPr>
        <w:t xml:space="preserve">et al.</w:t>
      </w:r>
      <w:r>
        <w:t xml:space="preserve">, eg </w:t>
      </w:r>
      <w:r>
        <w:rPr>
          <w:i/>
          <w:iCs/>
        </w:rPr>
        <w:t xml:space="preserve">in vitro</w:t>
      </w:r>
      <w:r>
        <w:t xml:space="preserve">.</w:t>
      </w:r>
    </w:p>
    <w:p>
      <w:pPr>
        <w:pStyle w:val="Heading2"/>
        <w:spacing w:after="120" w:before="280"/>
      </w:pPr>
      <w:r>
        <w:t xml:space="preserve">Genus and species</w:t>
      </w:r>
    </w:p>
    <w:p>
      <w:pPr>
        <w:pStyle w:val="ListParagraph"/>
        <w:numPr>
          <w:ilvl w:val="0"/>
          <w:numId w:val="2"/>
        </w:numPr>
        <w:spacing w:after="60"/>
      </w:pPr>
      <w:r>
        <w:t xml:space="preserve">Italicise when genus and species are used together (eg </w:t>
      </w:r>
      <w:r>
        <w:rPr>
          <w:i/>
          <w:iCs/>
        </w:rPr>
        <w:t xml:space="preserve">Staphylococcus aureus</w:t>
      </w:r>
      <w:r>
        <w:t xml:space="preserve">). NOTE: genus and species together always have singular endings.</w:t>
      </w:r>
    </w:p>
    <w:p>
      <w:pPr>
        <w:pStyle w:val="ListParagraph"/>
        <w:numPr>
          <w:ilvl w:val="0"/>
          <w:numId w:val="2"/>
        </w:numPr>
        <w:spacing w:after="60"/>
      </w:pPr>
      <w:r>
        <w:t xml:space="preserve">The genus alone is lower case, normal font (eg streptococci) unless the genus is specifically referred to (eg organisms of the genera </w:t>
      </w:r>
      <w:r>
        <w:rPr>
          <w:i/>
          <w:iCs/>
        </w:rPr>
        <w:t xml:space="preserve">Streptococcus</w:t>
      </w:r>
      <w:r>
        <w:t xml:space="preserve">).</w:t>
      </w:r>
    </w:p>
    <w:p>
      <w:pPr>
        <w:pStyle w:val="ListParagraph"/>
        <w:numPr>
          <w:ilvl w:val="0"/>
          <w:numId w:val="2"/>
        </w:numPr>
        <w:spacing w:after="60"/>
      </w:pPr>
      <w:r>
        <w:t xml:space="preserve">The name of an order has an initial capital but is in normal font (eg Enterobacteriaceae).</w:t>
      </w:r>
    </w:p>
    <w:p>
      <w:pPr>
        <w:pStyle w:val="ListParagraph"/>
        <w:numPr>
          <w:ilvl w:val="0"/>
          <w:numId w:val="2"/>
        </w:numPr>
        <w:spacing w:after="60"/>
      </w:pPr>
      <w:r>
        <w:t xml:space="preserve">The genus is in italics, but the wording spp is not (eg </w:t>
      </w:r>
      <w:r>
        <w:rPr>
          <w:i/>
          <w:iCs/>
        </w:rPr>
        <w:t xml:space="preserve">Streptococcus</w:t>
      </w:r>
      <w:r>
        <w:t xml:space="preserve"> spp).</w:t>
      </w:r>
    </w:p>
    <w:p>
      <w:pPr>
        <w:pStyle w:val="Heading2"/>
        <w:spacing w:after="120" w:before="280"/>
      </w:pPr>
      <w:r>
        <w:t xml:space="preserve">Plurals / collective nouns</w:t>
      </w:r>
    </w:p>
    <w:p>
      <w:pPr>
        <w:pStyle w:val="ListParagraph"/>
        <w:numPr>
          <w:ilvl w:val="0"/>
          <w:numId w:val="2"/>
        </w:numPr>
        <w:spacing w:after="60"/>
      </w:pPr>
      <w:r>
        <w:t xml:space="preserve">Company names are singular nouns: Novartis is…</w:t>
      </w:r>
    </w:p>
    <w:p>
      <w:pPr>
        <w:pStyle w:val="ListParagraph"/>
        <w:numPr>
          <w:ilvl w:val="0"/>
          <w:numId w:val="2"/>
        </w:numPr>
        <w:spacing w:after="60"/>
      </w:pPr>
      <w:r>
        <w:t xml:space="preserve">Data, media, criteria, phenomena, symposia are plural.</w:t>
      </w:r>
    </w:p>
    <w:p>
      <w:pPr>
        <w:pStyle w:val="ListParagraph"/>
        <w:numPr>
          <w:ilvl w:val="0"/>
          <w:numId w:val="2"/>
        </w:numPr>
        <w:spacing w:after="60"/>
      </w:pPr>
      <w:r>
        <w:t xml:space="preserve">Number may take either a singular or plural verb. When it is forming part of a composite plural subject, it should have a plural verb: A large number of people are coming today.</w:t>
      </w:r>
    </w:p>
    <w:p>
      <w:pPr>
        <w:pStyle w:val="ListParagraph"/>
        <w:numPr>
          <w:ilvl w:val="0"/>
          <w:numId w:val="2"/>
        </w:numPr>
        <w:spacing w:after="60"/>
      </w:pPr>
      <w:r>
        <w:t xml:space="preserve">When it is on its own as the subject, it should have a singular verb: The number of people coming today is large.</w:t>
      </w:r>
    </w:p>
    <w:p>
      <w:pPr>
        <w:pStyle w:val="ListParagraph"/>
        <w:numPr>
          <w:ilvl w:val="0"/>
          <w:numId w:val="2"/>
        </w:numPr>
        <w:spacing w:after="60"/>
      </w:pPr>
      <w:r>
        <w:t xml:space="preserve">Plurals of abbreviations do not have an apostrophe, eg 1980s, HCPs.</w:t>
      </w:r>
    </w:p>
    <w:p>
      <w:pPr>
        <w:pStyle w:val="Heading1"/>
        <w:spacing w:after="180" w:before="360"/>
      </w:pPr>
      <w:r>
        <w:t xml:space="preserve">Numbers and units</w:t>
      </w:r>
    </w:p>
    <w:p>
      <w:pPr>
        <w:pStyle w:val="Heading2"/>
        <w:spacing w:after="120" w:before="280"/>
      </w:pPr>
      <w:r>
        <w:t xml:space="preserve">Numbers</w:t>
      </w:r>
    </w:p>
    <w:p>
      <w:pPr>
        <w:pStyle w:val="ListParagraph"/>
        <w:numPr>
          <w:ilvl w:val="0"/>
          <w:numId w:val="2"/>
        </w:numPr>
        <w:spacing w:after="60"/>
      </w:pPr>
      <w:r>
        <w:t xml:space="preserve">Apart from the exceptions below, write out numbers from one to nine and use numerals for 10 and higher.</w:t>
      </w:r>
    </w:p>
    <w:p>
      <w:pPr>
        <w:pStyle w:val="ListParagraph"/>
        <w:numPr>
          <w:ilvl w:val="0"/>
          <w:numId w:val="2"/>
        </w:numPr>
        <w:spacing w:after="60"/>
      </w:pPr>
      <w:r>
        <w:t xml:space="preserve">Always use numerals with units of measurement, whether abbreviated or not (eg cm, years, mL).</w:t>
      </w:r>
    </w:p>
    <w:p>
      <w:pPr>
        <w:pStyle w:val="ListParagraph"/>
        <w:numPr>
          <w:ilvl w:val="0"/>
          <w:numId w:val="2"/>
        </w:numPr>
        <w:spacing w:after="60"/>
      </w:pPr>
      <w:r>
        <w:t xml:space="preserve">The number and unit should be separated by a space — a non-breaking space should be used (CTRL SHFT space [PC] or alt/option space [MAC]).</w:t>
      </w:r>
    </w:p>
    <w:p>
      <w:pPr>
        <w:pStyle w:val="ListParagraph"/>
        <w:numPr>
          <w:ilvl w:val="0"/>
          <w:numId w:val="2"/>
        </w:numPr>
        <w:spacing w:after="60"/>
      </w:pPr>
      <w:r>
        <w:t xml:space="preserve">Use words at the start of a sentence when possible (also spell out abbreviated units) but try to avoid where possible (eg a total of 25, some 64). NOTE: in some situations numerals can be used at the start of sentences to save space and to help quick recognition by the reader, eg for slides and posters and also in infographic style layouts.</w:t>
      </w:r>
    </w:p>
    <w:p>
      <w:pPr>
        <w:pStyle w:val="ListParagraph"/>
        <w:numPr>
          <w:ilvl w:val="0"/>
          <w:numId w:val="2"/>
        </w:numPr>
        <w:spacing w:after="60"/>
      </w:pPr>
      <w:r>
        <w:t xml:space="preserve">Hyphenate numbers between twenty-one and ninety-nine.</w:t>
      </w:r>
    </w:p>
    <w:p>
      <w:pPr>
        <w:pStyle w:val="ListParagraph"/>
        <w:numPr>
          <w:ilvl w:val="0"/>
          <w:numId w:val="2"/>
        </w:numPr>
        <w:spacing w:after="60"/>
      </w:pPr>
      <w:r>
        <w:t xml:space="preserve">In a sentence using numbers smaller and larger than 10, use all numerals (eg measurements were taken 2, 4 and 12 weeks after treatment).</w:t>
      </w:r>
    </w:p>
    <w:p>
      <w:pPr>
        <w:pStyle w:val="ListParagraph"/>
        <w:numPr>
          <w:ilvl w:val="0"/>
          <w:numId w:val="2"/>
        </w:numPr>
        <w:spacing w:after="60"/>
      </w:pPr>
      <w:r>
        <w:t xml:space="preserve">Use a comma in four-figure numbers and above (eg 1,000, 12,543) except in reference page numbers and dates.</w:t>
      </w:r>
    </w:p>
    <w:p>
      <w:pPr>
        <w:pStyle w:val="ListParagraph"/>
        <w:numPr>
          <w:ilvl w:val="0"/>
          <w:numId w:val="2"/>
        </w:numPr>
        <w:spacing w:after="60"/>
      </w:pPr>
      <w:r>
        <w:t xml:space="preserve">Do not use a comma for international audiences, as in some languages a comma is used instead of a decimal place in numbers so it can cause confusion.</w:t>
      </w:r>
    </w:p>
    <w:p>
      <w:pPr>
        <w:pStyle w:val="ListParagraph"/>
        <w:numPr>
          <w:ilvl w:val="0"/>
          <w:numId w:val="2"/>
        </w:numPr>
        <w:spacing w:after="60"/>
      </w:pPr>
      <w:r>
        <w:t xml:space="preserve">Large numbers can be a mixture of numerals and words (eg 6.7 million).</w:t>
      </w:r>
    </w:p>
    <w:p>
      <w:pPr>
        <w:pStyle w:val="ListParagraph"/>
        <w:numPr>
          <w:ilvl w:val="0"/>
          <w:numId w:val="2"/>
        </w:numPr>
        <w:spacing w:after="60"/>
      </w:pPr>
      <w:r>
        <w:t xml:space="preserve">Use 500–600 mg, not 500 mg to 600 mg, unless using from (eg from 500 mg to 600 mg). An en-dash should be used (option hyphen [MAC]).</w:t>
      </w:r>
    </w:p>
    <w:p>
      <w:pPr>
        <w:pStyle w:val="ListParagraph"/>
        <w:numPr>
          <w:ilvl w:val="0"/>
          <w:numId w:val="2"/>
        </w:numPr>
        <w:spacing w:after="60"/>
      </w:pPr>
      <w:r>
        <w:t xml:space="preserve">Do not elide numbers (eg 1240–1248, not 1240–8).</w:t>
      </w:r>
    </w:p>
    <w:p>
      <w:pPr>
        <w:pStyle w:val="ListParagraph"/>
        <w:numPr>
          <w:ilvl w:val="0"/>
          <w:numId w:val="2"/>
        </w:numPr>
        <w:spacing w:after="60"/>
      </w:pPr>
      <w:r>
        <w:t xml:space="preserve">Write out years in full (eg 1990s, not 90s).</w:t>
      </w:r>
    </w:p>
    <w:p>
      <w:pPr>
        <w:pStyle w:val="ListParagraph"/>
        <w:numPr>
          <w:ilvl w:val="0"/>
          <w:numId w:val="2"/>
        </w:numPr>
        <w:spacing w:after="60"/>
      </w:pPr>
      <w:r>
        <w:t xml:space="preserve">Use 0 before decimal points for numbers less than 1.</w:t>
      </w:r>
    </w:p>
    <w:p>
      <w:pPr>
        <w:pStyle w:val="ListParagraph"/>
        <w:numPr>
          <w:ilvl w:val="0"/>
          <w:numId w:val="2"/>
        </w:numPr>
        <w:spacing w:after="60"/>
      </w:pPr>
      <w:r>
        <w:t xml:space="preserve">Close up spaces around &lt;, &gt;, = etc.</w:t>
      </w:r>
    </w:p>
    <w:p>
      <w:pPr>
        <w:pStyle w:val="ListParagraph"/>
        <w:numPr>
          <w:ilvl w:val="0"/>
          <w:numId w:val="2"/>
        </w:numPr>
        <w:spacing w:after="60"/>
      </w:pPr>
      <w:r>
        <w:t xml:space="preserve">Hyphenate fractions (eg two-thirds).</w:t>
      </w:r>
    </w:p>
    <w:p>
      <w:pPr>
        <w:pStyle w:val="ListParagraph"/>
        <w:numPr>
          <w:ilvl w:val="0"/>
          <w:numId w:val="2"/>
        </w:numPr>
        <w:spacing w:after="60"/>
      </w:pPr>
      <w:r>
        <w:t xml:space="preserve">Always use a unit with a number (eg aged 22 years, not age 22).</w:t>
      </w:r>
    </w:p>
    <w:p>
      <w:pPr>
        <w:pStyle w:val="Heading2"/>
        <w:spacing w:after="120" w:before="280"/>
      </w:pPr>
      <w:r>
        <w:t xml:space="preserve">Units</w:t>
      </w:r>
    </w:p>
    <w:p>
      <w:pPr>
        <w:pStyle w:val="ListParagraph"/>
        <w:numPr>
          <w:ilvl w:val="0"/>
          <w:numId w:val="2"/>
        </w:numPr>
        <w:spacing w:after="60"/>
      </w:pPr>
      <w:r>
        <w:t xml:space="preserve">Use SI units.</w:t>
      </w:r>
    </w:p>
    <w:p>
      <w:pPr>
        <w:pStyle w:val="ListParagraph"/>
        <w:numPr>
          <w:ilvl w:val="0"/>
          <w:numId w:val="2"/>
        </w:numPr>
        <w:spacing w:after="60"/>
      </w:pPr>
      <w:r>
        <w:t xml:space="preserve">Use consistent units.</w:t>
      </w:r>
    </w:p>
    <w:p>
      <w:pPr>
        <w:pStyle w:val="ListParagraph"/>
        <w:numPr>
          <w:ilvl w:val="0"/>
          <w:numId w:val="2"/>
        </w:numPr>
        <w:spacing w:after="60"/>
      </w:pPr>
      <w:r>
        <w:t xml:space="preserve">Always use a unit with a number (eg 22 cm) and leave a non-breaking space between the number and the unit.</w:t>
      </w:r>
    </w:p>
    <w:p>
      <w:pPr>
        <w:pStyle w:val="ListParagraph"/>
        <w:numPr>
          <w:ilvl w:val="0"/>
          <w:numId w:val="2"/>
        </w:numPr>
        <w:spacing w:after="60"/>
      </w:pPr>
      <w:r>
        <w:t xml:space="preserve">In tables always include units, ideally in column or row headings.</w:t>
      </w:r>
    </w:p>
    <w:p>
      <w:pPr>
        <w:pStyle w:val="ListParagraph"/>
        <w:numPr>
          <w:ilvl w:val="0"/>
          <w:numId w:val="2"/>
        </w:numPr>
        <w:spacing w:after="60"/>
      </w:pPr>
      <w:r>
        <w:t xml:space="preserve">Be careful when using capital letters for units, for example: pore size of 100 nm NOT pore size of 100 nM; but, volume of 10 mL NOT volume of 10 ml.</w:t>
      </w:r>
    </w:p>
    <w:p>
      <w:pPr>
        <w:pStyle w:val="Heading2"/>
        <w:spacing w:after="120" w:before="280"/>
      </w:pPr>
      <w:r>
        <w:t xml:space="preserve">Time, date and phone format</w:t>
      </w:r>
    </w:p>
    <w:p>
      <w:pPr>
        <w:pStyle w:val="ListParagraph"/>
        <w:numPr>
          <w:ilvl w:val="0"/>
          <w:numId w:val="2"/>
        </w:numPr>
        <w:spacing w:after="60"/>
      </w:pPr>
      <w:r>
        <w:t xml:space="preserve">Preferred time style is 12-hour clock with am or pm (7 pm, 7.15 pm, 7–8 pm).</w:t>
      </w:r>
    </w:p>
    <w:p>
      <w:pPr>
        <w:pStyle w:val="ListParagraph"/>
        <w:numPr>
          <w:ilvl w:val="0"/>
          <w:numId w:val="2"/>
        </w:numPr>
        <w:spacing w:after="60"/>
      </w:pPr>
      <w:r>
        <w:t xml:space="preserve">Dates in UK style: 24 February 2014.</w:t>
      </w:r>
    </w:p>
    <w:p>
      <w:pPr>
        <w:pStyle w:val="ListParagraph"/>
        <w:numPr>
          <w:ilvl w:val="0"/>
          <w:numId w:val="2"/>
        </w:numPr>
        <w:spacing w:after="60"/>
      </w:pPr>
      <w:r>
        <w:t xml:space="preserve">Tel: +61 (0)2 9994 4000 / Fax: +61 (0) etc / Mobile: +61(0) etc.</w:t>
      </w:r>
    </w:p>
    <w:p>
      <w:pPr>
        <w:pStyle w:val="Heading2"/>
        <w:spacing w:after="120" w:before="280"/>
      </w:pPr>
      <w:r>
        <w:t xml:space="preserve">Statistics</w:t>
      </w:r>
    </w:p>
    <w:p>
      <w:pPr>
        <w:pStyle w:val="ListParagraph"/>
        <w:numPr>
          <w:ilvl w:val="0"/>
          <w:numId w:val="2"/>
        </w:numPr>
        <w:spacing w:after="60"/>
      </w:pPr>
      <w:r>
        <w:t xml:space="preserve">p values should be written as follows: p&gt;0.0001. NOTE: lower case, normal ‘p’; no space around ‘&gt;’, ‘0’ before decimal point.</w:t>
      </w:r>
    </w:p>
    <w:p>
      <w:pPr>
        <w:pStyle w:val="ListParagraph"/>
        <w:numPr>
          <w:ilvl w:val="0"/>
          <w:numId w:val="2"/>
        </w:numPr>
        <w:spacing w:after="60"/>
      </w:pPr>
      <w:r>
        <w:t xml:space="preserve">95% CI values should be separated by an en-dash (eg 95% CI 5.4–6.7).</w:t>
      </w:r>
    </w:p>
    <w:p>
      <w:pPr>
        <w:pStyle w:val="ListParagraph"/>
        <w:numPr>
          <w:ilvl w:val="0"/>
          <w:numId w:val="2"/>
        </w:numPr>
        <w:spacing w:after="60"/>
      </w:pPr>
      <w:r>
        <w:t xml:space="preserve">Standard deviations and standard error of mean should always be defined and should appear in brackets after the number without ± symbol.</w:t>
      </w:r>
    </w:p>
    <w:p>
      <w:pPr>
        <w:pStyle w:val="ListParagraph"/>
        <w:numPr>
          <w:ilvl w:val="0"/>
          <w:numId w:val="2"/>
        </w:numPr>
        <w:spacing w:after="60"/>
      </w:pPr>
      <w:r>
        <w:t xml:space="preserve">Asterisks should be used as footnotes to denote statistical significance: *p&lt;0.05  **p&lt;0.01  ***p&lt;0.001.</w:t>
      </w:r>
    </w:p>
    <w:p>
      <w:pPr>
        <w:pStyle w:val="Heading2"/>
        <w:spacing w:after="120" w:before="280"/>
      </w:pPr>
      <w:r>
        <w:t xml:space="preserve">Age</w:t>
      </w:r>
    </w:p>
    <w:p>
      <w:pPr>
        <w:pStyle w:val="ListParagraph"/>
        <w:numPr>
          <w:ilvl w:val="0"/>
          <w:numId w:val="2"/>
        </w:numPr>
        <w:spacing w:after="60"/>
      </w:pPr>
      <w:r>
        <w:t xml:space="preserve">Always use a unit.</w:t>
      </w:r>
    </w:p>
    <w:p>
      <w:pPr>
        <w:pStyle w:val="ListParagraph"/>
        <w:numPr>
          <w:ilvl w:val="0"/>
          <w:numId w:val="2"/>
        </w:numPr>
        <w:spacing w:after="60"/>
      </w:pPr>
      <w:r>
        <w:t xml:space="preserve">Patients are aged 22 years, not aged 22.</w:t>
      </w:r>
    </w:p>
    <w:p>
      <w:pPr>
        <w:pStyle w:val="ListParagraph"/>
        <w:numPr>
          <w:ilvl w:val="0"/>
          <w:numId w:val="2"/>
        </w:numPr>
        <w:spacing w:after="60"/>
      </w:pPr>
      <w:r>
        <w:t xml:space="preserve">Four 2-year-old girls.</w:t>
      </w:r>
    </w:p>
    <w:p>
      <w:pPr>
        <w:pStyle w:val="Heading2"/>
        <w:spacing w:after="120" w:before="280"/>
      </w:pPr>
      <w:r>
        <w:t xml:space="preserve">Symbols</w:t>
      </w:r>
    </w:p>
    <w:p>
      <w:pPr>
        <w:pStyle w:val="ListParagraph"/>
        <w:numPr>
          <w:ilvl w:val="0"/>
          <w:numId w:val="2"/>
        </w:numPr>
        <w:spacing w:after="60"/>
      </w:pPr>
      <w:r>
        <w:t xml:space="preserve">Use symbols or text for less than, more than etc consistently.</w:t>
      </w:r>
    </w:p>
    <w:p>
      <w:pPr>
        <w:pStyle w:val="ListParagraph"/>
        <w:numPr>
          <w:ilvl w:val="0"/>
          <w:numId w:val="2"/>
        </w:numPr>
        <w:spacing w:after="60"/>
      </w:pPr>
      <w:r>
        <w:t xml:space="preserve">Use ≥ and ≤ rather than underlined &gt; and &lt; (alt/option &gt; and alt/option &lt; [MAC]).</w:t>
      </w:r>
    </w:p>
    <w:p>
      <w:pPr>
        <w:pStyle w:val="Heading1"/>
        <w:spacing w:after="180" w:before="360"/>
      </w:pPr>
      <w:r>
        <w:t xml:space="preserve">Punctuation</w:t>
      </w:r>
    </w:p>
    <w:p>
      <w:pPr>
        <w:pStyle w:val="Heading2"/>
        <w:spacing w:after="120" w:before="280"/>
      </w:pPr>
      <w:r>
        <w:t xml:space="preserve">Commas</w:t>
      </w:r>
    </w:p>
    <w:p>
      <w:pPr>
        <w:pStyle w:val="ListParagraph"/>
        <w:numPr>
          <w:ilvl w:val="0"/>
          <w:numId w:val="2"/>
        </w:numPr>
        <w:spacing w:after="60"/>
      </w:pPr>
      <w:r>
        <w:t xml:space="preserve">A comma represents a pause. If it encompasses a phrase, such as this one, it should be possible to remove the phrase to leave a complete sentence.</w:t>
      </w:r>
    </w:p>
    <w:p>
      <w:pPr>
        <w:spacing w:after="120"/>
      </w:pPr>
      <w:r>
        <w:t xml:space="preserve">Generally, commas should be inserted between adjectives of equal weight not linked by ‘and’:</w:t>
      </w:r>
    </w:p>
    <w:p>
      <w:pPr>
        <w:pStyle w:val="ListParagraph"/>
        <w:numPr>
          <w:ilvl w:val="0"/>
          <w:numId w:val="2"/>
        </w:numPr>
        <w:spacing w:after="60"/>
      </w:pPr>
      <w:r>
        <w:t xml:space="preserve">An enterprising, ambitious man.</w:t>
      </w:r>
    </w:p>
    <w:p>
      <w:pPr>
        <w:spacing w:after="120"/>
      </w:pPr>
      <w:r>
        <w:t xml:space="preserve">But, where the last adjective is in closer relation to the substantive than the preceding ones, omit the comma:</w:t>
      </w:r>
    </w:p>
    <w:p>
      <w:pPr>
        <w:pStyle w:val="ListParagraph"/>
        <w:numPr>
          <w:ilvl w:val="0"/>
          <w:numId w:val="2"/>
        </w:numPr>
        <w:spacing w:after="60"/>
      </w:pPr>
      <w:r>
        <w:t xml:space="preserve">He was sorry for the little old lady.</w:t>
      </w:r>
    </w:p>
    <w:p>
      <w:pPr>
        <w:spacing w:after="120"/>
      </w:pPr>
      <w:r>
        <w:t xml:space="preserve">Oxford comma: Where more than two words or groupings occur together in a sequence a comma should precede the and:</w:t>
      </w:r>
    </w:p>
    <w:p>
      <w:pPr>
        <w:pStyle w:val="ListParagraph"/>
        <w:numPr>
          <w:ilvl w:val="0"/>
          <w:numId w:val="2"/>
        </w:numPr>
        <w:spacing w:after="60"/>
      </w:pPr>
      <w:r>
        <w:t xml:space="preserve">Adverse events reported were headache, hypotension and hypertension.</w:t>
      </w:r>
    </w:p>
    <w:p>
      <w:pPr>
        <w:pStyle w:val="ListParagraph"/>
        <w:numPr>
          <w:ilvl w:val="0"/>
          <w:numId w:val="2"/>
        </w:numPr>
        <w:spacing w:after="60"/>
      </w:pPr>
      <w:r>
        <w:t xml:space="preserve">New shops were opened by French and Collett, Booth and Tucker, and Jones.</w:t>
      </w:r>
    </w:p>
    <w:p>
      <w:pPr>
        <w:pStyle w:val="Heading2"/>
        <w:spacing w:after="120" w:before="280"/>
      </w:pPr>
      <w:r>
        <w:t xml:space="preserve">Semicolons</w:t>
      </w:r>
    </w:p>
    <w:p>
      <w:pPr>
        <w:pStyle w:val="ListParagraph"/>
        <w:numPr>
          <w:ilvl w:val="0"/>
          <w:numId w:val="2"/>
        </w:numPr>
        <w:spacing w:after="60"/>
      </w:pPr>
      <w:r>
        <w:t xml:space="preserve">The semicolon marks a longer pause than the comma.</w:t>
      </w:r>
    </w:p>
    <w:p>
      <w:pPr>
        <w:spacing w:after="120"/>
      </w:pPr>
      <w:r>
        <w:t xml:space="preserve">The semicolon separates two or more clauses which are of equivalent importance and are linked as a pair or series:</w:t>
      </w:r>
    </w:p>
    <w:p>
      <w:pPr>
        <w:pStyle w:val="ListParagraph"/>
        <w:numPr>
          <w:ilvl w:val="0"/>
          <w:numId w:val="2"/>
        </w:numPr>
        <w:spacing w:after="60"/>
      </w:pPr>
      <w:r>
        <w:t xml:space="preserve">To err is human; to forgive, divine.</w:t>
      </w:r>
    </w:p>
    <w:p>
      <w:pPr>
        <w:spacing w:after="120"/>
      </w:pPr>
      <w:r>
        <w:t xml:space="preserve">The semicolon also separates clauses in a compound sentence:</w:t>
      </w:r>
    </w:p>
    <w:p>
      <w:pPr>
        <w:pStyle w:val="ListParagraph"/>
        <w:numPr>
          <w:ilvl w:val="0"/>
          <w:numId w:val="2"/>
        </w:numPr>
        <w:spacing w:after="60"/>
      </w:pPr>
      <w:r>
        <w:t xml:space="preserve">Exclusion criteria included those patients below the age of 10; those receiving other forms of chemotherapy; those who refused to sign a consent form.</w:t>
      </w:r>
    </w:p>
    <w:p>
      <w:pPr>
        <w:pStyle w:val="Heading2"/>
        <w:spacing w:after="120" w:before="280"/>
      </w:pPr>
      <w:r>
        <w:t xml:space="preserve">Colons</w:t>
      </w:r>
    </w:p>
    <w:p>
      <w:pPr>
        <w:pStyle w:val="ListParagraph"/>
        <w:numPr>
          <w:ilvl w:val="0"/>
          <w:numId w:val="2"/>
        </w:numPr>
        <w:spacing w:after="60"/>
      </w:pPr>
      <w:r>
        <w:t xml:space="preserve">Whereas the semicolon links equal or balanced clauses, the colon generally marks a step forward, from introduction to main theme, from cause to effect. What precedes the colon should be a complete sentence.</w:t>
      </w:r>
    </w:p>
    <w:p>
      <w:pPr>
        <w:pStyle w:val="ListParagraph"/>
        <w:numPr>
          <w:ilvl w:val="0"/>
          <w:numId w:val="2"/>
        </w:numPr>
        <w:spacing w:after="60"/>
      </w:pPr>
      <w:r>
        <w:t xml:space="preserve">In business there is more than barter, exchange, price, payment: there is a sacred faith of man in man. [1 character space after the colon]</w:t>
      </w:r>
    </w:p>
    <w:p>
      <w:pPr>
        <w:pStyle w:val="ListParagraph"/>
        <w:numPr>
          <w:ilvl w:val="0"/>
          <w:numId w:val="2"/>
        </w:numPr>
        <w:spacing w:after="60"/>
      </w:pPr>
      <w:r>
        <w:t xml:space="preserve">A colon is also used to introduce a list.</w:t>
      </w:r>
    </w:p>
    <w:p>
      <w:pPr>
        <w:pStyle w:val="Heading2"/>
        <w:spacing w:after="120" w:before="280"/>
      </w:pPr>
      <w:r>
        <w:t xml:space="preserve">Full stops</w:t>
      </w:r>
    </w:p>
    <w:p>
      <w:pPr>
        <w:pStyle w:val="ListParagraph"/>
        <w:numPr>
          <w:ilvl w:val="0"/>
          <w:numId w:val="2"/>
        </w:numPr>
        <w:spacing w:after="60"/>
      </w:pPr>
      <w:r>
        <w:t xml:space="preserve">The full stop is always followed by one space.</w:t>
      </w:r>
    </w:p>
    <w:p>
      <w:pPr>
        <w:spacing w:after="120"/>
      </w:pPr>
      <w:r>
        <w:t xml:space="preserve">The full stop should occur within a bracket if the sentence is complete:</w:t>
      </w:r>
    </w:p>
    <w:p>
      <w:pPr>
        <w:pStyle w:val="ListParagraph"/>
        <w:numPr>
          <w:ilvl w:val="0"/>
          <w:numId w:val="2"/>
        </w:numPr>
        <w:spacing w:after="60"/>
      </w:pPr>
      <w:r>
        <w:t xml:space="preserve">…and the patient was excluded from the study. (However, this patient was included in the safety evaluation.)</w:t>
      </w:r>
    </w:p>
    <w:p>
      <w:pPr>
        <w:pStyle w:val="Heading2"/>
        <w:spacing w:after="120" w:before="280"/>
      </w:pPr>
      <w:r>
        <w:t xml:space="preserve">Quotes / inverted commas</w:t>
      </w:r>
    </w:p>
    <w:p>
      <w:pPr>
        <w:pStyle w:val="ListParagraph"/>
        <w:numPr>
          <w:ilvl w:val="0"/>
          <w:numId w:val="2"/>
        </w:numPr>
        <w:spacing w:after="60"/>
      </w:pPr>
      <w:r>
        <w:t xml:space="preserve">If punctuation is part of the statement cited in the quotation, then place it within the inverted commas, if not, place it outside.</w:t>
      </w:r>
    </w:p>
    <w:p>
      <w:pPr>
        <w:pStyle w:val="ListParagraph"/>
        <w:numPr>
          <w:ilvl w:val="0"/>
          <w:numId w:val="2"/>
        </w:numPr>
        <w:spacing w:after="60"/>
      </w:pPr>
      <w:r>
        <w:t xml:space="preserve">The main area of interest was the presentation ‘ACE inhibition in post-MI patients’.</w:t>
      </w:r>
    </w:p>
    <w:p>
      <w:pPr>
        <w:pStyle w:val="ListParagraph"/>
        <w:numPr>
          <w:ilvl w:val="0"/>
          <w:numId w:val="2"/>
        </w:numPr>
        <w:spacing w:after="60"/>
      </w:pPr>
      <w:r>
        <w:t xml:space="preserve">The question ‘Is ACE inhibition beneficial in post-MI patients?’ remains a subject of debate.</w:t>
      </w:r>
    </w:p>
    <w:p>
      <w:pPr>
        <w:pStyle w:val="Heading2"/>
        <w:spacing w:after="120" w:before="280"/>
      </w:pPr>
      <w:r>
        <w:t xml:space="preserve">Slashes</w:t>
      </w:r>
    </w:p>
    <w:p>
      <w:pPr>
        <w:pStyle w:val="ListParagraph"/>
        <w:numPr>
          <w:ilvl w:val="0"/>
          <w:numId w:val="2"/>
        </w:numPr>
        <w:spacing w:after="60"/>
      </w:pPr>
      <w:r>
        <w:t xml:space="preserve">In Word and PowerPoint, there should be no spaces around slashes — and/or not and / or.</w:t>
      </w:r>
    </w:p>
    <w:p>
      <w:r>
        <w:br w:type="page"/>
      </w:r>
    </w:p>
    <w:p>
      <w:pPr>
        <w:pStyle w:val="Heading1"/>
        <w:spacing w:after="180" w:before="360"/>
      </w:pPr>
      <w:r>
        <w:t xml:space="preserve">Spelling</w:t>
      </w:r>
    </w:p>
    <w:p>
      <w:pPr>
        <w:pStyle w:val="ListParagraph"/>
        <w:numPr>
          <w:ilvl w:val="0"/>
          <w:numId w:val="2"/>
        </w:numPr>
        <w:spacing w:after="60"/>
      </w:pPr>
      <w:r>
        <w:t xml:space="preserve">Always use English spelling with ‘ise’ and ‘yse’ unless specifically requested by a client/journal.</w:t>
      </w:r>
    </w:p>
    <w:p>
      <w:pPr>
        <w:pStyle w:val="ListParagraph"/>
        <w:numPr>
          <w:ilvl w:val="0"/>
          <w:numId w:val="2"/>
        </w:numPr>
        <w:spacing w:after="60"/>
      </w:pPr>
      <w:r>
        <w:t xml:space="preserve">If US spelling is requested make this clear upfront so that anyone working on the document will know.</w:t>
      </w:r>
    </w:p>
    <w:p>
      <w:pPr>
        <w:pStyle w:val="ListParagraph"/>
        <w:numPr>
          <w:ilvl w:val="0"/>
          <w:numId w:val="2"/>
        </w:numPr>
        <w:spacing w:after="60"/>
      </w:pPr>
      <w:r>
        <w:t xml:space="preserve">Please ensure the dictionary is set up correctly in Word or PowerPoint (ie English UK).</w:t>
      </w:r>
    </w:p>
    <w:p>
      <w:pPr>
        <w:pStyle w:val="ListParagraph"/>
        <w:numPr>
          <w:ilvl w:val="0"/>
          <w:numId w:val="2"/>
        </w:numPr>
        <w:spacing w:after="60"/>
      </w:pPr>
      <w:r>
        <w:t xml:space="preserve">NOTE: fetus and fetal are spelt the same way in both UK and US spelling. Sulphur is the UK standard spelling.</w:t>
      </w:r>
    </w:p>
    <w:p>
      <w:pPr>
        <w:pStyle w:val="ListParagraph"/>
        <w:numPr>
          <w:ilvl w:val="0"/>
          <w:numId w:val="2"/>
        </w:numPr>
        <w:spacing w:after="60"/>
      </w:pPr>
      <w:r>
        <w:t xml:space="preserve">The only exception is program — use the US spelling (program) rather than the UK spelling (programme).</w:t>
      </w:r>
    </w:p>
    <w:p>
      <w:pPr>
        <w:spacing w:after="120"/>
      </w:pPr>
      <w:r>
        <w:t xml:space="preserve">Examples are given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BBBBBB" w:sz="4"/>
              <w:left w:val="single" w:color="BBBBBB" w:sz="4"/>
              <w:bottom w:val="single" w:color="BBBBBB" w:sz="4"/>
              <w:right w:val="single" w:color="BBBBBB" w:sz="4"/>
            </w:tcBorders>
            <w:shd w:fill="E5E7EB" w:val="clear"/>
            <w:tcMar>
              <w:top w:type="dxa" w:w="60"/>
              <w:left w:type="dxa" w:w="100"/>
              <w:bottom w:type="dxa" w:w="60"/>
              <w:right w:type="dxa" w:w="100"/>
            </w:tcMar>
          </w:tcPr>
          <w:p>
            <w:r>
              <w:rPr>
                <w:b/>
                <w:bCs/>
                <w:sz w:val="18"/>
                <w:szCs w:val="18"/>
              </w:rPr>
              <w:t xml:space="preserve">UK</w:t>
            </w:r>
          </w:p>
        </w:tc>
        <w:tc>
          <w:tcPr>
            <w:tcW w:type="dxa" w:w="2340"/>
            <w:tcBorders>
              <w:top w:val="single" w:color="BBBBBB" w:sz="4"/>
              <w:left w:val="single" w:color="BBBBBB" w:sz="4"/>
              <w:bottom w:val="single" w:color="BBBBBB" w:sz="4"/>
              <w:right w:val="single" w:color="BBBBBB" w:sz="4"/>
            </w:tcBorders>
            <w:shd w:fill="E5E7EB" w:val="clear"/>
            <w:tcMar>
              <w:top w:type="dxa" w:w="60"/>
              <w:left w:type="dxa" w:w="100"/>
              <w:bottom w:type="dxa" w:w="60"/>
              <w:right w:type="dxa" w:w="100"/>
            </w:tcMar>
          </w:tcPr>
          <w:p>
            <w:r>
              <w:rPr>
                <w:b/>
                <w:bCs/>
                <w:sz w:val="18"/>
                <w:szCs w:val="18"/>
              </w:rPr>
              <w:t xml:space="preserve">US</w:t>
            </w:r>
          </w:p>
        </w:tc>
        <w:tc>
          <w:tcPr>
            <w:tcW w:type="dxa" w:w="2340"/>
            <w:tcBorders>
              <w:top w:val="single" w:color="BBBBBB" w:sz="4"/>
              <w:left w:val="single" w:color="BBBBBB" w:sz="4"/>
              <w:bottom w:val="single" w:color="BBBBBB" w:sz="4"/>
              <w:right w:val="single" w:color="BBBBBB" w:sz="4"/>
            </w:tcBorders>
            <w:shd w:fill="E5E7EB" w:val="clear"/>
            <w:tcMar>
              <w:top w:type="dxa" w:w="60"/>
              <w:left w:type="dxa" w:w="100"/>
              <w:bottom w:type="dxa" w:w="60"/>
              <w:right w:type="dxa" w:w="100"/>
            </w:tcMar>
          </w:tcPr>
          <w:p>
            <w:r>
              <w:rPr>
                <w:b/>
                <w:bCs/>
                <w:sz w:val="18"/>
                <w:szCs w:val="18"/>
              </w:rPr>
              <w:t xml:space="preserve">UK</w:t>
            </w:r>
          </w:p>
        </w:tc>
        <w:tc>
          <w:tcPr>
            <w:tcW w:type="dxa" w:w="2340"/>
            <w:tcBorders>
              <w:top w:val="single" w:color="BBBBBB" w:sz="4"/>
              <w:left w:val="single" w:color="BBBBBB" w:sz="4"/>
              <w:bottom w:val="single" w:color="BBBBBB" w:sz="4"/>
              <w:right w:val="single" w:color="BBBBBB" w:sz="4"/>
            </w:tcBorders>
            <w:shd w:fill="E5E7EB" w:val="clear"/>
            <w:tcMar>
              <w:top w:type="dxa" w:w="60"/>
              <w:left w:type="dxa" w:w="100"/>
              <w:bottom w:type="dxa" w:w="60"/>
              <w:right w:type="dxa" w:w="100"/>
            </w:tcMar>
          </w:tcPr>
          <w:p>
            <w:r>
              <w:rPr>
                <w:b/>
                <w:bCs/>
                <w:sz w:val="18"/>
                <w:szCs w:val="18"/>
              </w:rPr>
              <w:t xml:space="preserve">US</w:t>
            </w:r>
          </w:p>
        </w:tc>
      </w:tr>
      <w:tr>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acknowledgement</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acknowledgment</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haematology</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hematology</w:t>
            </w:r>
          </w:p>
        </w:tc>
      </w:tr>
      <w:tr>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adrenaline</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epinephrine</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ischaemia</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ischemia</w:t>
            </w:r>
          </w:p>
        </w:tc>
      </w:tr>
      <w:tr>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aesthetic</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esthetic</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labelled</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labeled</w:t>
            </w:r>
          </w:p>
        </w:tc>
      </w:tr>
      <w:tr>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aetiology</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etiology</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leucopenia</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leukopenia</w:t>
            </w:r>
          </w:p>
        </w:tc>
      </w:tr>
      <w:tr>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ageing</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aging</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litre</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liter</w:t>
            </w:r>
          </w:p>
        </w:tc>
      </w:tr>
      <w:tr>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anaemia</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anemia</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metre</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meter</w:t>
            </w:r>
          </w:p>
        </w:tc>
      </w:tr>
      <w:tr>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anaesthetic</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anesthetic</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noradrenaline</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norepinephrine</w:t>
            </w:r>
          </w:p>
        </w:tc>
      </w:tr>
      <w:tr>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analogue</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analog</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neurone</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neuron</w:t>
            </w:r>
          </w:p>
        </w:tc>
      </w:tr>
      <w:tr>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analyse</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analyze</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oedema</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edema</w:t>
            </w:r>
          </w:p>
        </w:tc>
      </w:tr>
      <w:tr>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behaviour</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behavior</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oestrogen</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estrogen</w:t>
            </w:r>
          </w:p>
        </w:tc>
      </w:tr>
      <w:tr>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calibre</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caliber</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oesophagus</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esophagus</w:t>
            </w:r>
          </w:p>
        </w:tc>
      </w:tr>
      <w:tr>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catalogue</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catalog</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paediatrics</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pediatrics</w:t>
            </w:r>
          </w:p>
        </w:tc>
      </w:tr>
      <w:tr>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centre</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center</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per cent</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percent</w:t>
            </w:r>
          </w:p>
        </w:tc>
      </w:tr>
      <w:tr>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colour</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color</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programme (except for computer program)</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program</w:t>
            </w:r>
          </w:p>
        </w:tc>
      </w:tr>
      <w:tr>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defence</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defense</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sceptical</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skeptical</w:t>
            </w:r>
          </w:p>
        </w:tc>
      </w:tr>
      <w:tr>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enrolment</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enrollment</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skilful</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skilful</w:t>
            </w:r>
          </w:p>
        </w:tc>
      </w:tr>
      <w:tr>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fulfil</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fulfill</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traveller</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traveler</w:t>
            </w:r>
          </w:p>
        </w:tc>
      </w:tr>
      <w:tr>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grey</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gray</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tumour</w:t>
            </w:r>
          </w:p>
        </w:tc>
        <w:tc>
          <w:tcPr>
            <w:tcW w:type="dxa" w:w="234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tumor</w:t>
            </w:r>
          </w:p>
        </w:tc>
      </w:tr>
    </w:tbl>
    <w:p>
      <w:pPr>
        <w:pStyle w:val="Heading1"/>
        <w:spacing w:after="180" w:before="360"/>
      </w:pPr>
      <w:r>
        <w:t xml:space="preserve">Figures</w:t>
      </w:r>
    </w:p>
    <w:p>
      <w:pPr>
        <w:pStyle w:val="ListParagraph"/>
        <w:numPr>
          <w:ilvl w:val="0"/>
          <w:numId w:val="2"/>
        </w:numPr>
        <w:spacing w:after="60"/>
      </w:pPr>
      <w:r>
        <w:t xml:space="preserve">Include a figure title.</w:t>
      </w:r>
    </w:p>
    <w:p>
      <w:pPr>
        <w:pStyle w:val="ListParagraph"/>
        <w:numPr>
          <w:ilvl w:val="0"/>
          <w:numId w:val="2"/>
        </w:numPr>
        <w:spacing w:after="60"/>
      </w:pPr>
      <w:r>
        <w:t xml:space="preserve">Titles for figures should be sentence case (Not Individual Words Capitalised).</w:t>
      </w:r>
    </w:p>
    <w:p>
      <w:pPr>
        <w:pStyle w:val="ListParagraph"/>
        <w:numPr>
          <w:ilvl w:val="0"/>
          <w:numId w:val="2"/>
        </w:numPr>
        <w:spacing w:after="60"/>
      </w:pPr>
      <w:r>
        <w:t xml:space="preserve">Include ‘Adapted from’ where the figure has been redrawn from a published figure (not required where a figure has been created from published data): Adapted from Smith AB </w:t>
      </w:r>
      <w:r>
        <w:rPr>
          <w:i/>
          <w:iCs/>
        </w:rPr>
        <w:t xml:space="preserve">et al.</w:t>
      </w:r>
      <w:r>
        <w:t xml:space="preserve"> 2022.</w:t>
      </w:r>
    </w:p>
    <w:p>
      <w:pPr>
        <w:pStyle w:val="ListParagraph"/>
        <w:numPr>
          <w:ilvl w:val="0"/>
          <w:numId w:val="2"/>
        </w:numPr>
        <w:spacing w:after="60"/>
      </w:pPr>
      <w:r>
        <w:t xml:space="preserve">Footnotes related to the figure should appear under the figure.</w:t>
      </w:r>
    </w:p>
    <w:p>
      <w:pPr>
        <w:pStyle w:val="ListParagraph"/>
        <w:numPr>
          <w:ilvl w:val="0"/>
          <w:numId w:val="2"/>
        </w:numPr>
        <w:spacing w:after="60"/>
      </w:pPr>
      <w:r>
        <w:t xml:space="preserve">All abbreviations used in a figure should be defined in a footnote.</w:t>
      </w:r>
    </w:p>
    <w:p>
      <w:pPr>
        <w:pStyle w:val="ListParagraph"/>
        <w:numPr>
          <w:ilvl w:val="0"/>
          <w:numId w:val="2"/>
        </w:numPr>
        <w:spacing w:after="60"/>
      </w:pPr>
      <w:r>
        <w:t xml:space="preserve">The font size should be consistent throughout the figure and be legible.</w:t>
      </w:r>
    </w:p>
    <w:p>
      <w:pPr>
        <w:pStyle w:val="ListParagraph"/>
        <w:numPr>
          <w:ilvl w:val="0"/>
          <w:numId w:val="2"/>
        </w:numPr>
        <w:spacing w:after="60"/>
      </w:pPr>
      <w:r>
        <w:t xml:space="preserve">Figures should be drawn to an appropriate size — all line weights should be consistent and tick marks should be of an appropriate, consistent length.</w:t>
      </w:r>
    </w:p>
    <w:p>
      <w:pPr>
        <w:pStyle w:val="ListParagraph"/>
        <w:numPr>
          <w:ilvl w:val="0"/>
          <w:numId w:val="2"/>
        </w:numPr>
        <w:spacing w:after="60"/>
      </w:pPr>
      <w:r>
        <w:t xml:space="preserve">Axes labels are centred on the axes.</w:t>
      </w:r>
    </w:p>
    <w:p>
      <w:pPr>
        <w:pStyle w:val="ListParagraph"/>
        <w:numPr>
          <w:ilvl w:val="0"/>
          <w:numId w:val="2"/>
        </w:numPr>
        <w:spacing w:after="60"/>
      </w:pPr>
      <w:r>
        <w:t xml:space="preserve">Ensure both axes have labels and units.</w:t>
      </w:r>
    </w:p>
    <w:p>
      <w:pPr>
        <w:pStyle w:val="ListParagraph"/>
        <w:numPr>
          <w:ilvl w:val="0"/>
          <w:numId w:val="2"/>
        </w:numPr>
        <w:spacing w:after="60"/>
      </w:pPr>
      <w:r>
        <w:t xml:space="preserve">Limit the number of tickmarks.</w:t>
      </w:r>
    </w:p>
    <w:p>
      <w:pPr>
        <w:pStyle w:val="ListParagraph"/>
        <w:numPr>
          <w:ilvl w:val="0"/>
          <w:numId w:val="2"/>
        </w:numPr>
        <w:spacing w:after="60"/>
      </w:pPr>
      <w:r>
        <w:t xml:space="preserve">For line graphs, finish axes where data end (unless there is a specific reason not to).</w:t>
      </w:r>
    </w:p>
    <w:p>
      <w:pPr>
        <w:pStyle w:val="ListParagraph"/>
        <w:numPr>
          <w:ilvl w:val="0"/>
          <w:numId w:val="2"/>
        </w:numPr>
        <w:spacing w:after="60"/>
      </w:pPr>
      <w:r>
        <w:t xml:space="preserve">Make sure the key (if needed) is present and correct.</w:t>
      </w:r>
    </w:p>
    <w:p>
      <w:pPr>
        <w:pStyle w:val="ListParagraph"/>
        <w:numPr>
          <w:ilvl w:val="0"/>
          <w:numId w:val="2"/>
        </w:numPr>
        <w:spacing w:after="60"/>
      </w:pPr>
      <w:r>
        <w:t xml:space="preserve">Footnotes should be left-aligned and aligned with y axis labels.</w:t>
      </w:r>
    </w:p>
    <w:p>
      <w:pPr>
        <w:pStyle w:val="Heading1"/>
        <w:spacing w:after="180" w:before="360"/>
      </w:pPr>
      <w:r>
        <w:t xml:space="preserve">Tables</w:t>
      </w:r>
    </w:p>
    <w:p>
      <w:pPr>
        <w:pStyle w:val="Heading2"/>
        <w:spacing w:after="120" w:before="280"/>
      </w:pPr>
      <w:r>
        <w:t xml:space="preserve">Key points</w:t>
      </w:r>
    </w:p>
    <w:p>
      <w:pPr>
        <w:pStyle w:val="ListParagraph"/>
        <w:numPr>
          <w:ilvl w:val="0"/>
          <w:numId w:val="2"/>
        </w:numPr>
        <w:spacing w:after="60"/>
      </w:pPr>
      <w:r>
        <w:t xml:space="preserve">Include a table title.</w:t>
      </w:r>
    </w:p>
    <w:p>
      <w:pPr>
        <w:pStyle w:val="ListParagraph"/>
        <w:numPr>
          <w:ilvl w:val="0"/>
          <w:numId w:val="2"/>
        </w:numPr>
        <w:spacing w:after="60"/>
      </w:pPr>
      <w:r>
        <w:t xml:space="preserve">Cite in numerical order within the document.</w:t>
      </w:r>
    </w:p>
    <w:p>
      <w:pPr>
        <w:pStyle w:val="ListParagraph"/>
        <w:numPr>
          <w:ilvl w:val="0"/>
          <w:numId w:val="2"/>
        </w:numPr>
        <w:spacing w:after="60"/>
      </w:pPr>
      <w:r>
        <w:t xml:space="preserve">Ensure parameters in rows and columns are the right way round, and consistent with other tables in document (and other similar documents eg set of posters).</w:t>
      </w:r>
    </w:p>
    <w:p>
      <w:pPr>
        <w:pStyle w:val="ListParagraph"/>
        <w:numPr>
          <w:ilvl w:val="0"/>
          <w:numId w:val="2"/>
        </w:numPr>
        <w:spacing w:after="60"/>
      </w:pPr>
      <w:r>
        <w:t xml:space="preserve">Tables should not repeat information in the text.</w:t>
      </w:r>
    </w:p>
    <w:p>
      <w:pPr>
        <w:pStyle w:val="Heading2"/>
        <w:spacing w:after="120" w:before="280"/>
      </w:pPr>
      <w:r>
        <w:t xml:space="preserve">Alignments</w:t>
      </w:r>
    </w:p>
    <w:p>
      <w:pPr>
        <w:pStyle w:val="ListParagraph"/>
        <w:numPr>
          <w:ilvl w:val="0"/>
          <w:numId w:val="2"/>
        </w:numPr>
        <w:spacing w:after="60"/>
      </w:pPr>
      <w:r>
        <w:t xml:space="preserve">Left align left-hand column.</w:t>
      </w:r>
    </w:p>
    <w:p>
      <w:pPr>
        <w:pStyle w:val="ListParagraph"/>
        <w:numPr>
          <w:ilvl w:val="0"/>
          <w:numId w:val="2"/>
        </w:numPr>
        <w:spacing w:after="60"/>
      </w:pPr>
      <w:r>
        <w:t xml:space="preserve">Centre all other columns.</w:t>
      </w:r>
    </w:p>
    <w:p>
      <w:pPr>
        <w:pStyle w:val="ListParagraph"/>
        <w:numPr>
          <w:ilvl w:val="0"/>
          <w:numId w:val="2"/>
        </w:numPr>
        <w:spacing w:after="60"/>
      </w:pPr>
      <w:r>
        <w:t xml:space="preserve">Align column headings at the bottom so they follow directly into the column (aligning at the top can make it difficult to read down columns).</w:t>
      </w:r>
    </w:p>
    <w:p>
      <w:pPr>
        <w:pStyle w:val="ListParagraph"/>
        <w:numPr>
          <w:ilvl w:val="0"/>
          <w:numId w:val="2"/>
        </w:numPr>
        <w:spacing w:after="60"/>
      </w:pPr>
      <w:r>
        <w:t xml:space="preserve">Column headings should be bold.</w:t>
      </w:r>
    </w:p>
    <w:p>
      <w:pPr>
        <w:pStyle w:val="ListParagraph"/>
        <w:numPr>
          <w:ilvl w:val="0"/>
          <w:numId w:val="2"/>
        </w:numPr>
        <w:spacing w:after="60"/>
      </w:pPr>
      <w:r>
        <w:t xml:space="preserve">Numbers should be centred under the column headings, not aligned to decimal points (untidy when different sized numbers are included).</w:t>
      </w:r>
    </w:p>
    <w:p>
      <w:pPr>
        <w:pStyle w:val="ListParagraph"/>
        <w:numPr>
          <w:ilvl w:val="0"/>
          <w:numId w:val="2"/>
        </w:numPr>
        <w:spacing w:after="60"/>
      </w:pPr>
      <w:r>
        <w:t xml:space="preserve">Paragraph spacing should be 3 pt above and below in Word or PowerPoint, if space on page.</w:t>
      </w:r>
    </w:p>
    <w:p>
      <w:pPr>
        <w:pStyle w:val="Heading2"/>
        <w:spacing w:after="120" w:before="280"/>
      </w:pPr>
      <w:r>
        <w:t xml:space="preserve">Units / numbers</w:t>
      </w:r>
    </w:p>
    <w:p>
      <w:pPr>
        <w:pStyle w:val="ListParagraph"/>
        <w:numPr>
          <w:ilvl w:val="0"/>
          <w:numId w:val="2"/>
        </w:numPr>
        <w:spacing w:after="60"/>
      </w:pPr>
      <w:r>
        <w:t xml:space="preserve">Always include units.</w:t>
      </w:r>
    </w:p>
    <w:p>
      <w:pPr>
        <w:pStyle w:val="ListParagraph"/>
        <w:numPr>
          <w:ilvl w:val="0"/>
          <w:numId w:val="2"/>
        </w:numPr>
        <w:spacing w:after="60"/>
      </w:pPr>
      <w:r>
        <w:t xml:space="preserve">Wherever possible, take units out of body of table and put into the column or row headings.</w:t>
      </w:r>
    </w:p>
    <w:p>
      <w:pPr>
        <w:pStyle w:val="ListParagraph"/>
        <w:numPr>
          <w:ilvl w:val="0"/>
          <w:numId w:val="2"/>
        </w:numPr>
        <w:spacing w:after="60"/>
      </w:pPr>
      <w:r>
        <w:t xml:space="preserve">Check for consistent use of significant figures/numerals after decimal places for each row, and between rows if sensible.</w:t>
      </w:r>
    </w:p>
    <w:p>
      <w:r>
        <w:br w:type="page"/>
      </w:r>
    </w:p>
    <w:p>
      <w:pPr>
        <w:pStyle w:val="Heading1"/>
        <w:spacing w:after="180" w:before="360"/>
      </w:pPr>
      <w:r>
        <w:t xml:space="preserve">Proposed additions  [for Ward7 team review]</w:t>
      </w:r>
    </w:p>
    <w:p>
      <w:pPr>
        <w:spacing w:after="120"/>
      </w:pPr>
      <w:r>
        <w:rPr>
          <w:highlight w:val="yellow"/>
          <w:highlightCs w:val="yellow"/>
        </w:rPr>
        <w:t xml:space="preserve">The sections below are not covered by Ward7’s current house style. They are drafted as starter content for the team to confirm, amend, or remove. Yellow highlight = proposed.</w:t>
      </w:r>
    </w:p>
    <w:p>
      <w:pPr>
        <w:pStyle w:val="Heading2"/>
        <w:spacing w:after="120" w:before="280"/>
      </w:pPr>
      <w:r>
        <w:rPr>
          <w:highlight w:val="yellow"/>
          <w:highlightCs w:val="yellow"/>
        </w:rPr>
        <w:t xml:space="preserve">[PROPOSED] Patient dignity and inclusive language</w:t>
      </w:r>
    </w:p>
    <w:p>
      <w:pPr>
        <w:spacing w:after="120"/>
      </w:pPr>
      <w:r>
        <w:rPr>
          <w:highlight w:val="yellow"/>
          <w:highlightCs w:val="yellow"/>
        </w:rPr>
        <w:t xml:space="preserve">Ward6 has a patient dignity section; Ward7’s current house style does not. Suggested starter content:</w:t>
      </w:r>
    </w:p>
    <w:p>
      <w:pPr>
        <w:pStyle w:val="ListParagraph"/>
        <w:numPr>
          <w:ilvl w:val="0"/>
          <w:numId w:val="2"/>
        </w:numPr>
        <w:spacing w:after="60"/>
      </w:pPr>
      <w:r>
        <w:rPr>
          <w:highlight w:val="yellow"/>
          <w:highlightCs w:val="yellow"/>
        </w:rPr>
        <w:t xml:space="preserve">Patients are people. People have a disease or condition; they are not defined by it.</w:t>
      </w:r>
    </w:p>
    <w:p>
      <w:pPr>
        <w:pStyle w:val="ListParagraph"/>
        <w:numPr>
          <w:ilvl w:val="0"/>
          <w:numId w:val="2"/>
        </w:numPr>
        <w:spacing w:after="60"/>
      </w:pPr>
      <w:r>
        <w:rPr>
          <w:highlight w:val="yellow"/>
          <w:highlightCs w:val="yellow"/>
        </w:rPr>
        <w:t xml:space="preserve">People with diabetes (or people living with diabetes), not diabetic patients.</w:t>
      </w:r>
    </w:p>
    <w:p>
      <w:pPr>
        <w:pStyle w:val="ListParagraph"/>
        <w:numPr>
          <w:ilvl w:val="0"/>
          <w:numId w:val="2"/>
        </w:numPr>
        <w:spacing w:after="60"/>
      </w:pPr>
      <w:r>
        <w:rPr>
          <w:highlight w:val="yellow"/>
          <w:highlightCs w:val="yellow"/>
        </w:rPr>
        <w:t xml:space="preserve">People are not well or poorly controlled — their disease or condition may be.</w:t>
      </w:r>
    </w:p>
    <w:p>
      <w:pPr>
        <w:pStyle w:val="ListParagraph"/>
        <w:numPr>
          <w:ilvl w:val="0"/>
          <w:numId w:val="2"/>
        </w:numPr>
        <w:spacing w:after="60"/>
      </w:pPr>
      <w:r>
        <w:rPr>
          <w:highlight w:val="yellow"/>
          <w:highlightCs w:val="yellow"/>
        </w:rPr>
        <w:t xml:space="preserve">Gender: default to gender-neutral phrasing where clinically appropriate (“people with prostate cancer” over “men with prostate cancer” unless a study population is sex-specific).</w:t>
      </w:r>
    </w:p>
    <w:p>
      <w:pPr>
        <w:pStyle w:val="ListParagraph"/>
        <w:numPr>
          <w:ilvl w:val="0"/>
          <w:numId w:val="2"/>
        </w:numPr>
        <w:spacing w:after="60"/>
      </w:pPr>
      <w:r>
        <w:rPr>
          <w:highlight w:val="yellow"/>
          <w:highlightCs w:val="yellow"/>
        </w:rPr>
        <w:t xml:space="preserve">Disability: people-first language (“people with epilepsy”, not “epileptics”) unless a community has signalled a preference for identity-first phrasing.</w:t>
      </w:r>
    </w:p>
    <w:p>
      <w:pPr>
        <w:pStyle w:val="ListParagraph"/>
        <w:numPr>
          <w:ilvl w:val="0"/>
          <w:numId w:val="2"/>
        </w:numPr>
        <w:spacing w:after="60"/>
      </w:pPr>
      <w:r>
        <w:rPr>
          <w:highlight w:val="yellow"/>
          <w:highlightCs w:val="yellow"/>
        </w:rPr>
        <w:t xml:space="preserve">Mental health: avoid “suffering from”; use “living with” or simply “has” unless quoting.</w:t>
      </w:r>
    </w:p>
    <w:p>
      <w:pPr>
        <w:pStyle w:val="ListParagraph"/>
        <w:numPr>
          <w:ilvl w:val="0"/>
          <w:numId w:val="2"/>
        </w:numPr>
        <w:spacing w:after="60"/>
      </w:pPr>
      <w:r>
        <w:rPr>
          <w:highlight w:val="yellow"/>
          <w:highlightCs w:val="yellow"/>
        </w:rPr>
        <w:t xml:space="preserve">Body and weight: avoid “obese” as a noun; use “people living with obesity”.</w:t>
      </w:r>
    </w:p>
    <w:p>
      <w:pPr>
        <w:pStyle w:val="ListParagraph"/>
        <w:numPr>
          <w:ilvl w:val="0"/>
          <w:numId w:val="2"/>
        </w:numPr>
        <w:spacing w:after="60"/>
      </w:pPr>
      <w:r>
        <w:rPr>
          <w:highlight w:val="yellow"/>
          <w:highlightCs w:val="yellow"/>
        </w:rPr>
        <w:t xml:space="preserve">Age: avoid “the elderly”; use “older people” or “older adults”.</w:t>
      </w:r>
    </w:p>
    <w:p>
      <w:pPr>
        <w:pStyle w:val="ListParagraph"/>
        <w:numPr>
          <w:ilvl w:val="0"/>
          <w:numId w:val="2"/>
        </w:numPr>
        <w:spacing w:after="60"/>
      </w:pPr>
      <w:r>
        <w:rPr>
          <w:highlight w:val="yellow"/>
          <w:highlightCs w:val="yellow"/>
        </w:rPr>
        <w:t xml:space="preserve">Cultural: capitalise Aboriginal and Torres Strait Islander; avoid deficit language.</w:t>
      </w:r>
    </w:p>
    <w:p>
      <w:pPr>
        <w:pStyle w:val="Heading2"/>
        <w:spacing w:after="120" w:before="280"/>
      </w:pPr>
      <w:r>
        <w:rPr>
          <w:highlight w:val="yellow"/>
          <w:highlightCs w:val="yellow"/>
        </w:rPr>
        <w:t xml:space="preserve">[PROPOSED] Phrases and clichés to avoid</w:t>
      </w:r>
    </w:p>
    <w:p>
      <w:pPr>
        <w:spacing w:after="120"/>
      </w:pPr>
      <w:r>
        <w:rPr>
          <w:highlight w:val="yellow"/>
          <w:highlightCs w:val="yellow"/>
        </w:rPr>
        <w:t xml:space="preserve">Pharma marketing has a recognisable register that the Voice &amp; Tone document explicitly pushes against. Starter list — team to confirm or extend:</w:t>
      </w:r>
    </w:p>
    <w:p>
      <w:pPr>
        <w:spacing w:after="120"/>
      </w:pPr>
      <w:r>
        <w:rPr>
          <w:highlight w:val="yellow"/>
          <w:highlightCs w:val="yellow"/>
        </w:rPr>
        <w:t xml:space="preserve">Marketing puff:</w:t>
      </w:r>
    </w:p>
    <w:p>
      <w:pPr>
        <w:pStyle w:val="ListParagraph"/>
        <w:numPr>
          <w:ilvl w:val="0"/>
          <w:numId w:val="2"/>
        </w:numPr>
        <w:spacing w:after="60"/>
      </w:pPr>
      <w:r>
        <w:rPr>
          <w:highlight w:val="yellow"/>
          <w:highlightCs w:val="yellow"/>
        </w:rPr>
        <w:t xml:space="preserve">“revolutionary”, “game-changing”, “next-generation”, “breakthrough”, “paradigm shift”, “world-class”, “best-in-class”</w:t>
      </w:r>
    </w:p>
    <w:p>
      <w:pPr>
        <w:pStyle w:val="ListParagraph"/>
        <w:numPr>
          <w:ilvl w:val="0"/>
          <w:numId w:val="2"/>
        </w:numPr>
        <w:spacing w:after="60"/>
      </w:pPr>
      <w:r>
        <w:rPr>
          <w:highlight w:val="yellow"/>
          <w:highlightCs w:val="yellow"/>
        </w:rPr>
        <w:t xml:space="preserve">“cutting-edge”, “state-of-the-art”, “innovative” (without specifying what is innovative)</w:t>
      </w:r>
    </w:p>
    <w:p>
      <w:pPr>
        <w:pStyle w:val="ListParagraph"/>
        <w:numPr>
          <w:ilvl w:val="0"/>
          <w:numId w:val="2"/>
        </w:numPr>
        <w:spacing w:after="60"/>
      </w:pPr>
      <w:r>
        <w:rPr>
          <w:highlight w:val="yellow"/>
          <w:highlightCs w:val="yellow"/>
        </w:rPr>
        <w:t xml:space="preserve">“unique” (rarely true; usually means “novel” or “differentiated”)</w:t>
      </w:r>
    </w:p>
    <w:p>
      <w:pPr>
        <w:spacing w:after="120"/>
      </w:pPr>
      <w:r>
        <w:rPr>
          <w:highlight w:val="yellow"/>
          <w:highlightCs w:val="yellow"/>
        </w:rPr>
        <w:t xml:space="preserve">Vague intensifiers:</w:t>
      </w:r>
    </w:p>
    <w:p>
      <w:pPr>
        <w:pStyle w:val="ListParagraph"/>
        <w:numPr>
          <w:ilvl w:val="0"/>
          <w:numId w:val="2"/>
        </w:numPr>
        <w:spacing w:after="60"/>
      </w:pPr>
      <w:r>
        <w:rPr>
          <w:highlight w:val="yellow"/>
          <w:highlightCs w:val="yellow"/>
        </w:rPr>
        <w:t xml:space="preserve">“significantly” (without statistics)</w:t>
      </w:r>
    </w:p>
    <w:p>
      <w:pPr>
        <w:pStyle w:val="ListParagraph"/>
        <w:numPr>
          <w:ilvl w:val="0"/>
          <w:numId w:val="2"/>
        </w:numPr>
        <w:spacing w:after="60"/>
      </w:pPr>
      <w:r>
        <w:rPr>
          <w:highlight w:val="yellow"/>
          <w:highlightCs w:val="yellow"/>
        </w:rPr>
        <w:t xml:space="preserve">“dramatically”, “substantially”, “markedly” (unless backed by a number)</w:t>
      </w:r>
    </w:p>
    <w:p>
      <w:pPr>
        <w:spacing w:after="120"/>
      </w:pPr>
      <w:r>
        <w:rPr>
          <w:highlight w:val="yellow"/>
          <w:highlightCs w:val="yellow"/>
        </w:rPr>
        <w:t xml:space="preserve">Patient-language tics:</w:t>
      </w:r>
    </w:p>
    <w:p>
      <w:pPr>
        <w:pStyle w:val="ListParagraph"/>
        <w:numPr>
          <w:ilvl w:val="0"/>
          <w:numId w:val="2"/>
        </w:numPr>
        <w:spacing w:after="60"/>
      </w:pPr>
      <w:r>
        <w:rPr>
          <w:highlight w:val="yellow"/>
          <w:highlightCs w:val="yellow"/>
        </w:rPr>
        <w:t xml:space="preserve">“suffering from” / “sufferer” — use “living with” or “has”</w:t>
      </w:r>
    </w:p>
    <w:p>
      <w:pPr>
        <w:pStyle w:val="ListParagraph"/>
        <w:numPr>
          <w:ilvl w:val="0"/>
          <w:numId w:val="2"/>
        </w:numPr>
        <w:spacing w:after="60"/>
      </w:pPr>
      <w:r>
        <w:rPr>
          <w:highlight w:val="yellow"/>
          <w:highlightCs w:val="yellow"/>
        </w:rPr>
        <w:t xml:space="preserve">“battle”, “fight”, “warrior” framing for chronic illness — use only when the patient/source has used it themselves</w:t>
      </w:r>
    </w:p>
    <w:p>
      <w:pPr>
        <w:pStyle w:val="ListParagraph"/>
        <w:numPr>
          <w:ilvl w:val="0"/>
          <w:numId w:val="2"/>
        </w:numPr>
        <w:spacing w:after="60"/>
      </w:pPr>
      <w:r>
        <w:rPr>
          <w:highlight w:val="yellow"/>
          <w:highlightCs w:val="yellow"/>
        </w:rPr>
        <w:t xml:space="preserve">“the patient journey” — overused; consider “the patient experience” or describe the actual stages</w:t>
      </w:r>
    </w:p>
    <w:p>
      <w:pPr>
        <w:pStyle w:val="Heading2"/>
        <w:spacing w:after="120" w:before="280"/>
      </w:pPr>
      <w:r>
        <w:rPr>
          <w:highlight w:val="yellow"/>
          <w:highlightCs w:val="yellow"/>
        </w:rPr>
        <w:t xml:space="preserve">[PROPOSED] Trade names</w:t>
      </w:r>
    </w:p>
    <w:p>
      <w:pPr>
        <w:spacing w:after="120"/>
      </w:pPr>
      <w:r>
        <w:rPr>
          <w:highlight w:val="yellow"/>
          <w:highlightCs w:val="yellow"/>
        </w:rPr>
        <w:t xml:space="preserve">Ward6 has a trade names section; Ward7 doesn’t. Suggested starter content:</w:t>
      </w:r>
    </w:p>
    <w:p>
      <w:pPr>
        <w:pStyle w:val="ListParagraph"/>
        <w:numPr>
          <w:ilvl w:val="0"/>
          <w:numId w:val="2"/>
        </w:numPr>
        <w:spacing w:after="60"/>
      </w:pPr>
      <w:r>
        <w:rPr>
          <w:highlight w:val="yellow"/>
          <w:highlightCs w:val="yellow"/>
        </w:rPr>
        <w:t xml:space="preserve">Follow brand guidelines, if available.</w:t>
      </w:r>
    </w:p>
    <w:p>
      <w:pPr>
        <w:pStyle w:val="ListParagraph"/>
        <w:numPr>
          <w:ilvl w:val="0"/>
          <w:numId w:val="2"/>
        </w:numPr>
        <w:spacing w:after="60"/>
      </w:pPr>
      <w:r>
        <w:rPr>
          <w:highlight w:val="yellow"/>
          <w:highlightCs w:val="yellow"/>
        </w:rPr>
        <w:t xml:space="preserve">Brands (trade names) always start with a capital, generic names are all lower case. Some brands use all caps — refer to brand guidelines.</w:t>
      </w:r>
    </w:p>
    <w:p>
      <w:pPr>
        <w:pStyle w:val="ListParagraph"/>
        <w:numPr>
          <w:ilvl w:val="0"/>
          <w:numId w:val="2"/>
        </w:numPr>
        <w:spacing w:after="60"/>
      </w:pPr>
      <w:r>
        <w:rPr>
          <w:highlight w:val="yellow"/>
          <w:highlightCs w:val="yellow"/>
        </w:rPr>
        <w:t xml:space="preserve">In general, use the ™ or the ® symbol for the first mention of a trade name only.</w:t>
      </w:r>
    </w:p>
    <w:p>
      <w:pPr>
        <w:pStyle w:val="Heading2"/>
        <w:spacing w:after="120" w:before="280"/>
      </w:pPr>
      <w:r>
        <w:rPr>
          <w:highlight w:val="yellow"/>
          <w:highlightCs w:val="yellow"/>
        </w:rPr>
        <w:t xml:space="preserve">[PROPOSED] Word usage</w:t>
      </w:r>
    </w:p>
    <w:p>
      <w:pPr>
        <w:spacing w:after="120"/>
      </w:pPr>
      <w:r>
        <w:rPr>
          <w:highlight w:val="yellow"/>
          <w:highlightCs w:val="yellow"/>
        </w:rPr>
        <w:t xml:space="preserve">Ward6 has a detailed word usage section; Ward7 doesn’t currently. Suggested starter rules — team to confirm Ward7’s preferences:</w:t>
      </w:r>
    </w:p>
    <w:p>
      <w:pPr>
        <w:pStyle w:val="ListParagraph"/>
        <w:numPr>
          <w:ilvl w:val="0"/>
          <w:numId w:val="2"/>
        </w:numPr>
        <w:spacing w:after="60"/>
      </w:pPr>
      <w:r>
        <w:rPr>
          <w:highlight w:val="yellow"/>
          <w:highlightCs w:val="yellow"/>
        </w:rPr>
        <w:t xml:space="preserve">about / around / approximately — Ward6 prefers “about” as the default estimate.</w:t>
      </w:r>
    </w:p>
    <w:p>
      <w:pPr>
        <w:pStyle w:val="ListParagraph"/>
        <w:numPr>
          <w:ilvl w:val="0"/>
          <w:numId w:val="2"/>
        </w:numPr>
        <w:spacing w:after="60"/>
      </w:pPr>
      <w:r>
        <w:rPr>
          <w:highlight w:val="yellow"/>
          <w:highlightCs w:val="yellow"/>
        </w:rPr>
        <w:t xml:space="preserve">over / more (than) — Ward6 reserves “over” for height/age; otherwise “more”.</w:t>
      </w:r>
    </w:p>
    <w:p>
      <w:pPr>
        <w:pStyle w:val="ListParagraph"/>
        <w:numPr>
          <w:ilvl w:val="0"/>
          <w:numId w:val="2"/>
        </w:numPr>
        <w:spacing w:after="60"/>
      </w:pPr>
      <w:r>
        <w:rPr>
          <w:highlight w:val="yellow"/>
          <w:highlightCs w:val="yellow"/>
        </w:rPr>
        <w:t xml:space="preserve">under / fewer / less (than) — “under” for height/age; “fewer” for countable; “less (than)” for uncountable.</w:t>
      </w:r>
    </w:p>
    <w:p>
      <w:pPr>
        <w:pStyle w:val="ListParagraph"/>
        <w:numPr>
          <w:ilvl w:val="0"/>
          <w:numId w:val="2"/>
        </w:numPr>
        <w:spacing w:after="60"/>
      </w:pPr>
      <w:r>
        <w:rPr>
          <w:highlight w:val="yellow"/>
          <w:highlightCs w:val="yellow"/>
        </w:rPr>
        <w:t xml:space="preserve">that / which — defining vs incidental clause distinction.</w:t>
      </w:r>
    </w:p>
    <w:p>
      <w:pPr>
        <w:pStyle w:val="ListParagraph"/>
        <w:numPr>
          <w:ilvl w:val="0"/>
          <w:numId w:val="2"/>
        </w:numPr>
        <w:spacing w:after="60"/>
      </w:pPr>
      <w:r>
        <w:rPr>
          <w:highlight w:val="yellow"/>
          <w:highlightCs w:val="yellow"/>
        </w:rPr>
        <w:t xml:space="preserve">last / past — last = final in sequence; past = leading up to now.</w:t>
      </w:r>
    </w:p>
    <w:p>
      <w:pPr>
        <w:pStyle w:val="ListParagraph"/>
        <w:numPr>
          <w:ilvl w:val="0"/>
          <w:numId w:val="2"/>
        </w:numPr>
        <w:spacing w:after="60"/>
      </w:pPr>
      <w:r>
        <w:rPr>
          <w:highlight w:val="yellow"/>
          <w:highlightCs w:val="yellow"/>
        </w:rPr>
        <w:t xml:space="preserve">between / and — “between 12 and 14 years”, not “between 12–14 years”.</w:t>
      </w:r>
    </w:p>
    <w:p>
      <w:pPr>
        <w:pStyle w:val="Heading2"/>
        <w:spacing w:after="120" w:before="280"/>
      </w:pPr>
      <w:r>
        <w:rPr>
          <w:highlight w:val="yellow"/>
          <w:highlightCs w:val="yellow"/>
        </w:rPr>
        <w:t xml:space="preserve">[PROPOSED] Preferred terms / glossary</w:t>
      </w:r>
    </w:p>
    <w:p>
      <w:pPr>
        <w:spacing w:after="120"/>
      </w:pPr>
      <w:r>
        <w:rPr>
          <w:highlight w:val="yellow"/>
          <w:highlightCs w:val="yellow"/>
        </w:rPr>
        <w:t xml:space="preserve">A glossary of preferred forms for terms commonly written more than one way. Ward7’s hyphenation table already covers many; propose extending to a single canonical reference. Starter list — team to confirm:</w:t>
      </w:r>
    </w:p>
    <w:p>
      <w:pPr>
        <w:pStyle w:val="ListParagraph"/>
        <w:numPr>
          <w:ilvl w:val="0"/>
          <w:numId w:val="2"/>
        </w:numPr>
        <w:spacing w:after="60"/>
      </w:pPr>
      <w:r>
        <w:rPr>
          <w:highlight w:val="yellow"/>
          <w:highlightCs w:val="yellow"/>
        </w:rPr>
        <w:t xml:space="preserve">healthcare (one word) — already in Ward7’s hyphenation table.</w:t>
      </w:r>
    </w:p>
    <w:p>
      <w:pPr>
        <w:pStyle w:val="ListParagraph"/>
        <w:numPr>
          <w:ilvl w:val="0"/>
          <w:numId w:val="2"/>
        </w:numPr>
        <w:spacing w:after="60"/>
      </w:pPr>
      <w:r>
        <w:rPr>
          <w:highlight w:val="yellow"/>
          <w:highlightCs w:val="yellow"/>
        </w:rPr>
        <w:t xml:space="preserve">wellbeing — already in Ward7’s hyphenation table.</w:t>
      </w:r>
    </w:p>
    <w:p>
      <w:pPr>
        <w:pStyle w:val="ListParagraph"/>
        <w:numPr>
          <w:ilvl w:val="0"/>
          <w:numId w:val="2"/>
        </w:numPr>
        <w:spacing w:after="60"/>
      </w:pPr>
      <w:r>
        <w:rPr>
          <w:highlight w:val="yellow"/>
          <w:highlightCs w:val="yellow"/>
        </w:rPr>
        <w:t xml:space="preserve">email, website, worldwide — already in Ward7’s table.</w:t>
      </w:r>
    </w:p>
    <w:p>
      <w:pPr>
        <w:pStyle w:val="ListParagraph"/>
        <w:numPr>
          <w:ilvl w:val="0"/>
          <w:numId w:val="2"/>
        </w:numPr>
        <w:spacing w:after="60"/>
      </w:pPr>
      <w:r>
        <w:rPr>
          <w:highlight w:val="yellow"/>
          <w:highlightCs w:val="yellow"/>
        </w:rPr>
        <w:t xml:space="preserve">eHealth vs e-health vs digital health — Ward7 to confirm.</w:t>
      </w:r>
    </w:p>
    <w:p>
      <w:pPr>
        <w:pStyle w:val="ListParagraph"/>
        <w:numPr>
          <w:ilvl w:val="0"/>
          <w:numId w:val="2"/>
        </w:numPr>
        <w:spacing w:after="60"/>
      </w:pPr>
      <w:r>
        <w:rPr>
          <w:highlight w:val="yellow"/>
          <w:highlightCs w:val="yellow"/>
        </w:rPr>
        <w:t xml:space="preserve">GP vs general practitioner (when to spell out) — Ward7 to confirm.</w:t>
      </w:r>
    </w:p>
    <w:p>
      <w:pPr>
        <w:pStyle w:val="ListParagraph"/>
        <w:numPr>
          <w:ilvl w:val="0"/>
          <w:numId w:val="2"/>
        </w:numPr>
        <w:spacing w:after="60"/>
      </w:pPr>
      <w:r>
        <w:rPr>
          <w:highlight w:val="yellow"/>
          <w:highlightCs w:val="yellow"/>
        </w:rPr>
        <w:t xml:space="preserve">consumer vs patient (in patient-facing copy) — Ward7 to confirm.</w:t>
      </w:r>
    </w:p>
    <w:p>
      <w:pPr>
        <w:pStyle w:val="ListParagraph"/>
        <w:numPr>
          <w:ilvl w:val="0"/>
          <w:numId w:val="2"/>
        </w:numPr>
        <w:spacing w:after="60"/>
      </w:pPr>
      <w:r>
        <w:rPr>
          <w:highlight w:val="yellow"/>
          <w:highlightCs w:val="yellow"/>
        </w:rPr>
        <w:t xml:space="preserve">comorbidity vs co-morbidity — Ward7 to confirm.</w:t>
      </w:r>
    </w:p>
    <w:p>
      <w:pPr>
        <w:pStyle w:val="ListParagraph"/>
        <w:numPr>
          <w:ilvl w:val="0"/>
          <w:numId w:val="2"/>
        </w:numPr>
        <w:spacing w:after="60"/>
      </w:pPr>
      <w:r>
        <w:rPr>
          <w:highlight w:val="yellow"/>
          <w:highlightCs w:val="yellow"/>
        </w:rPr>
        <w:t xml:space="preserve">first-line / second-line therapy (always hyphenated) — Ward7 to confirm.</w:t>
      </w:r>
    </w:p>
    <w:p>
      <w:r>
        <w:br w:type="page"/>
      </w:r>
    </w:p>
    <w:p>
      <w:pPr>
        <w:pStyle w:val="Heading1"/>
        <w:spacing w:after="180" w:before="360"/>
      </w:pPr>
      <w:r>
        <w:t xml:space="preserve">Appendix — Quick keys</w:t>
      </w:r>
    </w:p>
    <w:p>
      <w:pPr>
        <w:spacing w:after="120"/>
      </w:pPr>
      <w:r>
        <w:t xml:space="preserve">Character and symbol quick keys, and other useful Quick Keys, preserved from Ward7’s working house style.</w:t>
      </w:r>
    </w:p>
    <w:p>
      <w:pPr>
        <w:pStyle w:val="Heading2"/>
        <w:spacing w:after="120" w:before="280"/>
      </w:pPr>
      <w:r>
        <w:t xml:space="preserve">Character and symbol quick keys</w:t>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780"/>
        <w:gridCol w:w="780"/>
        <w:gridCol w:w="1300"/>
        <w:gridCol w:w="780"/>
        <w:gridCol w:w="780"/>
        <w:gridCol w:w="780"/>
        <w:gridCol w:w="780"/>
        <w:gridCol w:w="780"/>
        <w:gridCol w:w="780"/>
        <w:gridCol w:w="780"/>
        <w:gridCol w:w="780"/>
      </w:tblGrid>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MAC alt+</w:t>
            </w:r>
          </w:p>
        </w:tc>
        <w:tc>
          <w:tcPr>
            <w:tcW w:type="dxa" w:w="130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PC alt+n</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t</w:t>
            </w:r>
          </w:p>
        </w:tc>
        <w:tc>
          <w:tcPr>
            <w:tcW w:type="dxa" w:w="1300"/>
            <w:tcBorders>
              <w:top w:val="single" w:color="BBBBBB" w:sz="4"/>
              <w:left w:val="single" w:color="BBBBBB" w:sz="4"/>
              <w:bottom w:val="single" w:color="BBBBBB" w:sz="4"/>
              <w:right w:val="single" w:color="BBBBBB" w:sz="4"/>
            </w:tcBorders>
            <w:tcMar>
              <w:top w:type="dxa" w:w="60"/>
              <w:left w:type="dxa" w:w="100"/>
              <w:bottom w:type="dxa" w:w="60"/>
              <w:right w:type="dxa" w:w="100"/>
            </w:tcMar>
          </w:tcPr>
          <w:p>
            <w:r>
              <w:t>0134</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È</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0200</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è</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0232</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Shift 7</w:t>
            </w:r>
          </w:p>
        </w:tc>
        <w:tc>
          <w:tcPr>
            <w:tcW w:type="dxa" w:w="1300"/>
            <w:tcBorders>
              <w:top w:val="single" w:color="BBBBBB" w:sz="4"/>
              <w:left w:val="single" w:color="BBBBBB" w:sz="4"/>
              <w:bottom w:val="single" w:color="BBBBBB" w:sz="4"/>
              <w:right w:val="single" w:color="BBBBBB" w:sz="4"/>
            </w:tcBorders>
            <w:tcMar>
              <w:top w:type="dxa" w:w="60"/>
              <w:left w:type="dxa" w:w="100"/>
              <w:bottom w:type="dxa" w:w="60"/>
              <w:right w:type="dxa" w:w="100"/>
            </w:tcMar>
          </w:tcPr>
          <w:p>
            <w:r>
              <w:t>0135</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É</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0201</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é</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0233</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Š</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p>
        </w:tc>
        <w:tc>
          <w:tcPr>
            <w:tcW w:type="dxa" w:w="1300"/>
            <w:tcBorders>
              <w:top w:val="single" w:color="BBBBBB" w:sz="4"/>
              <w:left w:val="single" w:color="BBBBBB" w:sz="4"/>
              <w:bottom w:val="single" w:color="BBBBBB" w:sz="4"/>
              <w:right w:val="single" w:color="BBBBBB" w:sz="4"/>
            </w:tcBorders>
            <w:tcMar>
              <w:top w:type="dxa" w:w="60"/>
              <w:left w:type="dxa" w:w="100"/>
              <w:bottom w:type="dxa" w:w="60"/>
              <w:right w:type="dxa" w:w="100"/>
            </w:tcMar>
          </w:tcPr>
          <w:p>
            <w:r>
              <w:t>0138</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Ê</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0202</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ê</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0234</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Œ</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p>
        </w:tc>
        <w:tc>
          <w:tcPr>
            <w:tcW w:type="dxa" w:w="1300"/>
            <w:tcBorders>
              <w:top w:val="single" w:color="BBBBBB" w:sz="4"/>
              <w:left w:val="single" w:color="BBBBBB" w:sz="4"/>
              <w:bottom w:val="single" w:color="BBBBBB" w:sz="4"/>
              <w:right w:val="single" w:color="BBBBBB" w:sz="4"/>
            </w:tcBorders>
            <w:tcMar>
              <w:top w:type="dxa" w:w="60"/>
              <w:left w:type="dxa" w:w="100"/>
              <w:bottom w:type="dxa" w:w="60"/>
              <w:right w:type="dxa" w:w="100"/>
            </w:tcMar>
          </w:tcPr>
          <w:p>
            <w:r>
              <w:t>0140</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Ÿ</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0203</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ë</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0235</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p>
        </w:tc>
        <w:tc>
          <w:tcPr>
            <w:tcW w:type="dxa" w:w="1300"/>
            <w:tcBorders>
              <w:top w:val="single" w:color="BBBBBB" w:sz="4"/>
              <w:left w:val="single" w:color="BBBBBB" w:sz="4"/>
              <w:bottom w:val="single" w:color="BBBBBB" w:sz="4"/>
              <w:right w:val="single" w:color="BBBBBB" w:sz="4"/>
            </w:tcBorders>
            <w:tcMar>
              <w:top w:type="dxa" w:w="60"/>
              <w:left w:type="dxa" w:w="100"/>
              <w:bottom w:type="dxa" w:w="60"/>
              <w:right w:type="dxa" w:w="100"/>
            </w:tcMar>
          </w:tcPr>
          <w:p>
            <w:r>
              <w:t>0145</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Ì</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0204</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ì</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0236</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p>
        </w:tc>
        <w:tc>
          <w:tcPr>
            <w:tcW w:type="dxa" w:w="1300"/>
            <w:tcBorders>
              <w:top w:val="single" w:color="BBBBBB" w:sz="4"/>
              <w:left w:val="single" w:color="BBBBBB" w:sz="4"/>
              <w:bottom w:val="single" w:color="BBBBBB" w:sz="4"/>
              <w:right w:val="single" w:color="BBBBBB" w:sz="4"/>
            </w:tcBorders>
            <w:tcMar>
              <w:top w:type="dxa" w:w="60"/>
              <w:left w:type="dxa" w:w="100"/>
              <w:bottom w:type="dxa" w:w="60"/>
              <w:right w:type="dxa" w:w="100"/>
            </w:tcMar>
          </w:tcPr>
          <w:p>
            <w:r>
              <w:t>0146</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Í</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0205</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í</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0237</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p>
        </w:tc>
        <w:tc>
          <w:tcPr>
            <w:tcW w:type="dxa" w:w="1300"/>
            <w:tcBorders>
              <w:top w:val="single" w:color="BBBBBB" w:sz="4"/>
              <w:left w:val="single" w:color="BBBBBB" w:sz="4"/>
              <w:bottom w:val="single" w:color="BBBBBB" w:sz="4"/>
              <w:right w:val="single" w:color="BBBBBB" w:sz="4"/>
            </w:tcBorders>
            <w:tcMar>
              <w:top w:type="dxa" w:w="60"/>
              <w:left w:type="dxa" w:w="100"/>
              <w:bottom w:type="dxa" w:w="60"/>
              <w:right w:type="dxa" w:w="100"/>
            </w:tcMar>
          </w:tcPr>
          <w:p>
            <w:r>
              <w:t>0147</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Î</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0206</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î</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0238</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p>
        </w:tc>
        <w:tc>
          <w:tcPr>
            <w:tcW w:type="dxa" w:w="1300"/>
            <w:tcBorders>
              <w:top w:val="single" w:color="BBBBBB" w:sz="4"/>
              <w:left w:val="single" w:color="BBBBBB" w:sz="4"/>
              <w:bottom w:val="single" w:color="BBBBBB" w:sz="4"/>
              <w:right w:val="single" w:color="BBBBBB" w:sz="4"/>
            </w:tcBorders>
            <w:tcMar>
              <w:top w:type="dxa" w:w="60"/>
              <w:left w:type="dxa" w:w="100"/>
              <w:bottom w:type="dxa" w:w="60"/>
              <w:right w:type="dxa" w:w="100"/>
            </w:tcMar>
          </w:tcPr>
          <w:p>
            <w:r>
              <w:t>0148</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Ï</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0207</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ï</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0239</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w:t>
            </w:r>
          </w:p>
        </w:tc>
        <w:tc>
          <w:tcPr>
            <w:tcW w:type="dxa" w:w="1300"/>
            <w:tcBorders>
              <w:top w:val="single" w:color="BBBBBB" w:sz="4"/>
              <w:left w:val="single" w:color="BBBBBB" w:sz="4"/>
              <w:bottom w:val="single" w:color="BBBBBB" w:sz="4"/>
              <w:right w:val="single" w:color="BBBBBB" w:sz="4"/>
            </w:tcBorders>
            <w:tcMar>
              <w:top w:type="dxa" w:w="60"/>
              <w:left w:type="dxa" w:w="100"/>
              <w:bottom w:type="dxa" w:w="60"/>
              <w:right w:type="dxa" w:w="100"/>
            </w:tcMar>
          </w:tcPr>
          <w:p>
            <w:r>
              <w:t>0150</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Ð</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0208</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ð</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0240</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p>
        </w:tc>
        <w:tc>
          <w:tcPr>
            <w:tcW w:type="dxa" w:w="1300"/>
            <w:tcBorders>
              <w:top w:val="single" w:color="BBBBBB" w:sz="4"/>
              <w:left w:val="single" w:color="BBBBBB" w:sz="4"/>
              <w:bottom w:val="single" w:color="BBBBBB" w:sz="4"/>
              <w:right w:val="single" w:color="BBBBBB" w:sz="4"/>
            </w:tcBorders>
            <w:tcMar>
              <w:top w:type="dxa" w:w="60"/>
              <w:left w:type="dxa" w:w="100"/>
              <w:bottom w:type="dxa" w:w="60"/>
              <w:right w:type="dxa" w:w="100"/>
            </w:tcMar>
          </w:tcPr>
          <w:p>
            <w:r>
              <w:t>0151</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Ñ</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0209</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ñ</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0241</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2</w:t>
            </w:r>
          </w:p>
        </w:tc>
        <w:tc>
          <w:tcPr>
            <w:tcW w:type="dxa" w:w="1300"/>
            <w:tcBorders>
              <w:top w:val="single" w:color="BBBBBB" w:sz="4"/>
              <w:left w:val="single" w:color="BBBBBB" w:sz="4"/>
              <w:bottom w:val="single" w:color="BBBBBB" w:sz="4"/>
              <w:right w:val="single" w:color="BBBBBB" w:sz="4"/>
            </w:tcBorders>
            <w:tcMar>
              <w:top w:type="dxa" w:w="60"/>
              <w:left w:type="dxa" w:w="100"/>
              <w:bottom w:type="dxa" w:w="60"/>
              <w:right w:type="dxa" w:w="100"/>
            </w:tcMar>
          </w:tcPr>
          <w:p>
            <w:r>
              <w:t>0153</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Ò</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0210</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ò</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0242</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š</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p>
        </w:tc>
        <w:tc>
          <w:tcPr>
            <w:tcW w:type="dxa" w:w="1300"/>
            <w:tcBorders>
              <w:top w:val="single" w:color="BBBBBB" w:sz="4"/>
              <w:left w:val="single" w:color="BBBBBB" w:sz="4"/>
              <w:bottom w:val="single" w:color="BBBBBB" w:sz="4"/>
              <w:right w:val="single" w:color="BBBBBB" w:sz="4"/>
            </w:tcBorders>
            <w:tcMar>
              <w:top w:type="dxa" w:w="60"/>
              <w:left w:type="dxa" w:w="100"/>
              <w:bottom w:type="dxa" w:w="60"/>
              <w:right w:type="dxa" w:w="100"/>
            </w:tcMar>
          </w:tcPr>
          <w:p>
            <w:r>
              <w:t>0154</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Ó</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0211</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ó</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0243</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œ</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p>
        </w:tc>
        <w:tc>
          <w:tcPr>
            <w:tcW w:type="dxa" w:w="1300"/>
            <w:tcBorders>
              <w:top w:val="single" w:color="BBBBBB" w:sz="4"/>
              <w:left w:val="single" w:color="BBBBBB" w:sz="4"/>
              <w:bottom w:val="single" w:color="BBBBBB" w:sz="4"/>
              <w:right w:val="single" w:color="BBBBBB" w:sz="4"/>
            </w:tcBorders>
            <w:tcMar>
              <w:top w:type="dxa" w:w="60"/>
              <w:left w:type="dxa" w:w="100"/>
              <w:bottom w:type="dxa" w:w="60"/>
              <w:right w:type="dxa" w:w="100"/>
            </w:tcMar>
          </w:tcPr>
          <w:p>
            <w:r>
              <w:t>0156</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Ô</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0212</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ô</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0244</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Ÿ</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p>
        </w:tc>
        <w:tc>
          <w:tcPr>
            <w:tcW w:type="dxa" w:w="1300"/>
            <w:tcBorders>
              <w:top w:val="single" w:color="BBBBBB" w:sz="4"/>
              <w:left w:val="single" w:color="BBBBBB" w:sz="4"/>
              <w:bottom w:val="single" w:color="BBBBBB" w:sz="4"/>
              <w:right w:val="single" w:color="BBBBBB" w:sz="4"/>
            </w:tcBorders>
            <w:tcMar>
              <w:top w:type="dxa" w:w="60"/>
              <w:left w:type="dxa" w:w="100"/>
              <w:bottom w:type="dxa" w:w="60"/>
              <w:right w:type="dxa" w:w="100"/>
            </w:tcMar>
          </w:tcPr>
          <w:p>
            <w:r>
              <w:t>0159</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Õ</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0213</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õ</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0245</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p>
        </w:tc>
        <w:tc>
          <w:tcPr>
            <w:tcW w:type="dxa" w:w="1300"/>
            <w:tcBorders>
              <w:top w:val="single" w:color="BBBBBB" w:sz="4"/>
              <w:left w:val="single" w:color="BBBBBB" w:sz="4"/>
              <w:bottom w:val="single" w:color="BBBBBB" w:sz="4"/>
              <w:right w:val="single" w:color="BBBBBB" w:sz="4"/>
            </w:tcBorders>
            <w:tcMar>
              <w:top w:type="dxa" w:w="60"/>
              <w:left w:type="dxa" w:w="100"/>
              <w:bottom w:type="dxa" w:w="60"/>
              <w:right w:type="dxa" w:w="100"/>
            </w:tcMar>
          </w:tcPr>
          <w:p>
            <w:r>
              <w:t>0162</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Ö</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0214</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ö</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0246</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p>
        </w:tc>
        <w:tc>
          <w:tcPr>
            <w:tcW w:type="dxa" w:w="1300"/>
            <w:tcBorders>
              <w:top w:val="single" w:color="BBBBBB" w:sz="4"/>
              <w:left w:val="single" w:color="BBBBBB" w:sz="4"/>
              <w:bottom w:val="single" w:color="BBBBBB" w:sz="4"/>
              <w:right w:val="single" w:color="BBBBBB" w:sz="4"/>
            </w:tcBorders>
            <w:tcMar>
              <w:top w:type="dxa" w:w="60"/>
              <w:left w:type="dxa" w:w="100"/>
              <w:bottom w:type="dxa" w:w="60"/>
              <w:right w:type="dxa" w:w="100"/>
            </w:tcMar>
          </w:tcPr>
          <w:p>
            <w:r>
              <w:t>0165</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0215</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t>0247</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Pr>
          <w:p>
            <w:r>
              <w:t>©</w:t>
            </w:r>
          </w:p>
        </w:tc>
        <w:tc>
          <w:tcPr>
            <w:tcW w:type="dxa" w:w="780"/>
          </w:tcPr>
          <w:p>
            <w:r/>
          </w:p>
        </w:tc>
        <w:tc>
          <w:tcPr>
            <w:tcW w:type="dxa" w:w="1300"/>
          </w:tcPr>
          <w:p>
            <w:r>
              <w:t>0169</w:t>
            </w:r>
          </w:p>
        </w:tc>
        <w:tc>
          <w:tcPr>
            <w:tcW w:type="dxa" w:w="780"/>
          </w:tcPr>
          <w:p>
            <w:r>
              <w:t>Ø</w:t>
            </w:r>
          </w:p>
        </w:tc>
        <w:tc>
          <w:tcPr>
            <w:tcW w:type="dxa" w:w="780"/>
          </w:tcPr>
          <w:p>
            <w:r>
              <w:t>0216</w:t>
            </w:r>
          </w:p>
        </w:tc>
        <w:tc>
          <w:tcPr>
            <w:tcW w:type="dxa" w:w="780"/>
          </w:tcPr>
          <w:p>
            <w:r>
              <w:t>ø</w:t>
            </w:r>
          </w:p>
        </w:tc>
        <w:tc>
          <w:tcPr>
            <w:tcW w:type="dxa" w:w="780"/>
          </w:tcPr>
          <w:p>
            <w:r>
              <w:t>0248</w:t>
            </w:r>
          </w:p>
        </w:tc>
        <w:tc>
          <w:tcPr>
            <w:tcW w:type="dxa" w:w="780"/>
          </w:tcPr>
          <w:p/>
        </w:tc>
        <w:tc>
          <w:tcPr>
            <w:tcW w:type="dxa" w:w="780"/>
          </w:tcPr>
          <w:p/>
        </w:tc>
        <w:tc>
          <w:tcPr>
            <w:tcW w:type="dxa" w:w="780"/>
          </w:tcPr>
          <w:p/>
        </w:tc>
        <w:tc>
          <w:tcPr>
            <w:tcW w:type="dxa" w:w="780"/>
          </w:tcPr>
          <w:p/>
        </w:tc>
      </w:tr>
      <w:tr>
        <w:tc>
          <w:tcPr>
            <w:tcW w:type="dxa" w:w="780"/>
          </w:tcPr>
          <w:p>
            <w:r>
              <w:t>®</w:t>
            </w:r>
          </w:p>
        </w:tc>
        <w:tc>
          <w:tcPr>
            <w:tcW w:type="dxa" w:w="780"/>
          </w:tcPr>
          <w:p>
            <w:r>
              <w:t>r</w:t>
            </w:r>
          </w:p>
        </w:tc>
        <w:tc>
          <w:tcPr>
            <w:tcW w:type="dxa" w:w="1300"/>
          </w:tcPr>
          <w:p>
            <w:r>
              <w:t>0174</w:t>
            </w:r>
          </w:p>
        </w:tc>
        <w:tc>
          <w:tcPr>
            <w:tcW w:type="dxa" w:w="780"/>
          </w:tcPr>
          <w:p>
            <w:r>
              <w:t>Ù</w:t>
            </w:r>
          </w:p>
        </w:tc>
        <w:tc>
          <w:tcPr>
            <w:tcW w:type="dxa" w:w="780"/>
          </w:tcPr>
          <w:p>
            <w:r>
              <w:t>0217</w:t>
            </w:r>
          </w:p>
        </w:tc>
        <w:tc>
          <w:tcPr>
            <w:tcW w:type="dxa" w:w="780"/>
          </w:tcPr>
          <w:p>
            <w:r>
              <w:t>ù</w:t>
            </w:r>
          </w:p>
        </w:tc>
        <w:tc>
          <w:tcPr>
            <w:tcW w:type="dxa" w:w="780"/>
          </w:tcPr>
          <w:p>
            <w:r>
              <w:t>0249</w:t>
            </w:r>
          </w:p>
        </w:tc>
        <w:tc>
          <w:tcPr>
            <w:tcW w:type="dxa" w:w="780"/>
          </w:tcPr>
          <w:p/>
        </w:tc>
        <w:tc>
          <w:tcPr>
            <w:tcW w:type="dxa" w:w="780"/>
          </w:tcPr>
          <w:p/>
        </w:tc>
        <w:tc>
          <w:tcPr>
            <w:tcW w:type="dxa" w:w="780"/>
          </w:tcPr>
          <w:p/>
        </w:tc>
        <w:tc>
          <w:tcPr>
            <w:tcW w:type="dxa" w:w="780"/>
          </w:tcPr>
          <w:p/>
        </w:tc>
      </w:tr>
      <w:tr>
        <w:tc>
          <w:tcPr>
            <w:tcW w:type="dxa" w:w="780"/>
          </w:tcPr>
          <w:p>
            <w:r>
              <w:t>±</w:t>
            </w:r>
          </w:p>
        </w:tc>
        <w:tc>
          <w:tcPr>
            <w:tcW w:type="dxa" w:w="780"/>
          </w:tcPr>
          <w:p>
            <w:r>
              <w:t>Shift +</w:t>
            </w:r>
          </w:p>
        </w:tc>
        <w:tc>
          <w:tcPr>
            <w:tcW w:type="dxa" w:w="1300"/>
          </w:tcPr>
          <w:p>
            <w:r>
              <w:t>0177</w:t>
            </w:r>
          </w:p>
        </w:tc>
        <w:tc>
          <w:tcPr>
            <w:tcW w:type="dxa" w:w="780"/>
          </w:tcPr>
          <w:p>
            <w:r>
              <w:t>Ú</w:t>
            </w:r>
          </w:p>
        </w:tc>
        <w:tc>
          <w:tcPr>
            <w:tcW w:type="dxa" w:w="780"/>
          </w:tcPr>
          <w:p>
            <w:r>
              <w:t>0218</w:t>
            </w:r>
          </w:p>
        </w:tc>
        <w:tc>
          <w:tcPr>
            <w:tcW w:type="dxa" w:w="780"/>
          </w:tcPr>
          <w:p>
            <w:r>
              <w:t>ú</w:t>
            </w:r>
          </w:p>
        </w:tc>
        <w:tc>
          <w:tcPr>
            <w:tcW w:type="dxa" w:w="780"/>
          </w:tcPr>
          <w:p>
            <w:r>
              <w:t>0250</w:t>
            </w:r>
          </w:p>
        </w:tc>
        <w:tc>
          <w:tcPr>
            <w:tcW w:type="dxa" w:w="780"/>
          </w:tcPr>
          <w:p/>
        </w:tc>
        <w:tc>
          <w:tcPr>
            <w:tcW w:type="dxa" w:w="780"/>
          </w:tcPr>
          <w:p/>
        </w:tc>
        <w:tc>
          <w:tcPr>
            <w:tcW w:type="dxa" w:w="780"/>
          </w:tcPr>
          <w:p/>
        </w:tc>
        <w:tc>
          <w:tcPr>
            <w:tcW w:type="dxa" w:w="780"/>
          </w:tcPr>
          <w:p/>
        </w:tc>
      </w:tr>
      <w:tr>
        <w:tc>
          <w:tcPr>
            <w:tcW w:type="dxa" w:w="780"/>
          </w:tcPr>
          <w:p>
            <w:r>
              <w:t>µ</w:t>
            </w:r>
          </w:p>
        </w:tc>
        <w:tc>
          <w:tcPr>
            <w:tcW w:type="dxa" w:w="780"/>
          </w:tcPr>
          <w:p>
            <w:r/>
          </w:p>
        </w:tc>
        <w:tc>
          <w:tcPr>
            <w:tcW w:type="dxa" w:w="1300"/>
          </w:tcPr>
          <w:p>
            <w:r>
              <w:t>0181</w:t>
            </w:r>
          </w:p>
        </w:tc>
        <w:tc>
          <w:tcPr>
            <w:tcW w:type="dxa" w:w="780"/>
          </w:tcPr>
          <w:p>
            <w:r>
              <w:t>Û</w:t>
            </w:r>
          </w:p>
        </w:tc>
        <w:tc>
          <w:tcPr>
            <w:tcW w:type="dxa" w:w="780"/>
          </w:tcPr>
          <w:p>
            <w:r>
              <w:t>0219</w:t>
            </w:r>
          </w:p>
        </w:tc>
        <w:tc>
          <w:tcPr>
            <w:tcW w:type="dxa" w:w="780"/>
          </w:tcPr>
          <w:p>
            <w:r>
              <w:t>û</w:t>
            </w:r>
          </w:p>
        </w:tc>
        <w:tc>
          <w:tcPr>
            <w:tcW w:type="dxa" w:w="780"/>
          </w:tcPr>
          <w:p>
            <w:r>
              <w:t>0251</w:t>
            </w:r>
          </w:p>
        </w:tc>
        <w:tc>
          <w:tcPr>
            <w:tcW w:type="dxa" w:w="780"/>
          </w:tcPr>
          <w:p/>
        </w:tc>
        <w:tc>
          <w:tcPr>
            <w:tcW w:type="dxa" w:w="780"/>
          </w:tcPr>
          <w:p/>
        </w:tc>
        <w:tc>
          <w:tcPr>
            <w:tcW w:type="dxa" w:w="780"/>
          </w:tcPr>
          <w:p/>
        </w:tc>
        <w:tc>
          <w:tcPr>
            <w:tcW w:type="dxa" w:w="780"/>
          </w:tcPr>
          <w:p/>
        </w:tc>
      </w:tr>
      <w:tr>
        <w:tc>
          <w:tcPr>
            <w:tcW w:type="dxa" w:w="780"/>
          </w:tcPr>
          <w:p>
            <w:r>
              <w:t>º</w:t>
            </w:r>
          </w:p>
        </w:tc>
        <w:tc>
          <w:tcPr>
            <w:tcW w:type="dxa" w:w="780"/>
          </w:tcPr>
          <w:p>
            <w:r>
              <w:t>Shift 8</w:t>
            </w:r>
          </w:p>
        </w:tc>
        <w:tc>
          <w:tcPr>
            <w:tcW w:type="dxa" w:w="1300"/>
          </w:tcPr>
          <w:p>
            <w:r>
              <w:t>0186</w:t>
            </w:r>
          </w:p>
        </w:tc>
        <w:tc>
          <w:tcPr>
            <w:tcW w:type="dxa" w:w="780"/>
          </w:tcPr>
          <w:p>
            <w:r>
              <w:t>Ü</w:t>
            </w:r>
          </w:p>
        </w:tc>
        <w:tc>
          <w:tcPr>
            <w:tcW w:type="dxa" w:w="780"/>
          </w:tcPr>
          <w:p>
            <w:r>
              <w:t>0220</w:t>
            </w:r>
          </w:p>
        </w:tc>
        <w:tc>
          <w:tcPr>
            <w:tcW w:type="dxa" w:w="780"/>
          </w:tcPr>
          <w:p>
            <w:r>
              <w:t>ü</w:t>
            </w:r>
          </w:p>
        </w:tc>
        <w:tc>
          <w:tcPr>
            <w:tcW w:type="dxa" w:w="780"/>
          </w:tcPr>
          <w:p>
            <w:r>
              <w:t>0252</w:t>
            </w:r>
          </w:p>
        </w:tc>
        <w:tc>
          <w:tcPr>
            <w:tcW w:type="dxa" w:w="780"/>
          </w:tcPr>
          <w:p/>
        </w:tc>
        <w:tc>
          <w:tcPr>
            <w:tcW w:type="dxa" w:w="780"/>
          </w:tcPr>
          <w:p/>
        </w:tc>
        <w:tc>
          <w:tcPr>
            <w:tcW w:type="dxa" w:w="780"/>
          </w:tcPr>
          <w:p/>
        </w:tc>
        <w:tc>
          <w:tcPr>
            <w:tcW w:type="dxa" w:w="780"/>
          </w:tcPr>
          <w:p/>
        </w:tc>
      </w:tr>
      <w:tr>
        <w:tc>
          <w:tcPr>
            <w:tcW w:type="dxa" w:w="780"/>
          </w:tcPr>
          <w:p>
            <w:r>
              <w:t>¼</w:t>
            </w:r>
          </w:p>
        </w:tc>
        <w:tc>
          <w:tcPr>
            <w:tcW w:type="dxa" w:w="780"/>
          </w:tcPr>
          <w:p>
            <w:r/>
          </w:p>
        </w:tc>
        <w:tc>
          <w:tcPr>
            <w:tcW w:type="dxa" w:w="1300"/>
          </w:tcPr>
          <w:p>
            <w:r>
              <w:t>0188</w:t>
            </w:r>
          </w:p>
        </w:tc>
        <w:tc>
          <w:tcPr>
            <w:tcW w:type="dxa" w:w="780"/>
          </w:tcPr>
          <w:p>
            <w:r>
              <w:t>Ý</w:t>
            </w:r>
          </w:p>
        </w:tc>
        <w:tc>
          <w:tcPr>
            <w:tcW w:type="dxa" w:w="780"/>
          </w:tcPr>
          <w:p>
            <w:r>
              <w:t>0221</w:t>
            </w:r>
          </w:p>
        </w:tc>
        <w:tc>
          <w:tcPr>
            <w:tcW w:type="dxa" w:w="780"/>
          </w:tcPr>
          <w:p>
            <w:r>
              <w:t>ý</w:t>
            </w:r>
          </w:p>
        </w:tc>
        <w:tc>
          <w:tcPr>
            <w:tcW w:type="dxa" w:w="780"/>
          </w:tcPr>
          <w:p>
            <w:r>
              <w:t>0253</w:t>
            </w:r>
          </w:p>
        </w:tc>
        <w:tc>
          <w:tcPr>
            <w:tcW w:type="dxa" w:w="780"/>
          </w:tcPr>
          <w:p/>
        </w:tc>
        <w:tc>
          <w:tcPr>
            <w:tcW w:type="dxa" w:w="780"/>
          </w:tcPr>
          <w:p/>
        </w:tc>
        <w:tc>
          <w:tcPr>
            <w:tcW w:type="dxa" w:w="780"/>
          </w:tcPr>
          <w:p/>
        </w:tc>
        <w:tc>
          <w:tcPr>
            <w:tcW w:type="dxa" w:w="780"/>
          </w:tcPr>
          <w:p/>
        </w:tc>
      </w:tr>
      <w:tr>
        <w:tc>
          <w:tcPr>
            <w:tcW w:type="dxa" w:w="780"/>
          </w:tcPr>
          <w:p>
            <w:r>
              <w:t>½</w:t>
            </w:r>
          </w:p>
        </w:tc>
        <w:tc>
          <w:tcPr>
            <w:tcW w:type="dxa" w:w="780"/>
          </w:tcPr>
          <w:p>
            <w:r/>
          </w:p>
        </w:tc>
        <w:tc>
          <w:tcPr>
            <w:tcW w:type="dxa" w:w="1300"/>
          </w:tcPr>
          <w:p>
            <w:r>
              <w:t>0189</w:t>
            </w:r>
          </w:p>
        </w:tc>
        <w:tc>
          <w:tcPr>
            <w:tcW w:type="dxa" w:w="780"/>
          </w:tcPr>
          <w:p>
            <w:r>
              <w:t>Þ</w:t>
            </w:r>
          </w:p>
        </w:tc>
        <w:tc>
          <w:tcPr>
            <w:tcW w:type="dxa" w:w="780"/>
          </w:tcPr>
          <w:p>
            <w:r>
              <w:t>0222</w:t>
            </w:r>
          </w:p>
        </w:tc>
        <w:tc>
          <w:tcPr>
            <w:tcW w:type="dxa" w:w="780"/>
          </w:tcPr>
          <w:p>
            <w:r>
              <w:t>þ</w:t>
            </w:r>
          </w:p>
        </w:tc>
        <w:tc>
          <w:tcPr>
            <w:tcW w:type="dxa" w:w="780"/>
          </w:tcPr>
          <w:p>
            <w:r>
              <w:t>0254</w:t>
            </w:r>
          </w:p>
        </w:tc>
        <w:tc>
          <w:tcPr>
            <w:tcW w:type="dxa" w:w="780"/>
          </w:tcPr>
          <w:p/>
        </w:tc>
        <w:tc>
          <w:tcPr>
            <w:tcW w:type="dxa" w:w="780"/>
          </w:tcPr>
          <w:p/>
        </w:tc>
        <w:tc>
          <w:tcPr>
            <w:tcW w:type="dxa" w:w="780"/>
          </w:tcPr>
          <w:p/>
        </w:tc>
        <w:tc>
          <w:tcPr>
            <w:tcW w:type="dxa" w:w="780"/>
          </w:tcPr>
          <w:p/>
        </w:tc>
      </w:tr>
      <w:tr>
        <w:tc>
          <w:tcPr>
            <w:tcW w:type="dxa" w:w="780"/>
          </w:tcPr>
          <w:p>
            <w:r>
              <w:t>¾</w:t>
            </w:r>
          </w:p>
        </w:tc>
        <w:tc>
          <w:tcPr>
            <w:tcW w:type="dxa" w:w="780"/>
          </w:tcPr>
          <w:p>
            <w:r/>
          </w:p>
        </w:tc>
        <w:tc>
          <w:tcPr>
            <w:tcW w:type="dxa" w:w="1300"/>
          </w:tcPr>
          <w:p>
            <w:r>
              <w:t>0190</w:t>
            </w:r>
          </w:p>
        </w:tc>
        <w:tc>
          <w:tcPr>
            <w:tcW w:type="dxa" w:w="780"/>
          </w:tcPr>
          <w:p>
            <w:r>
              <w:t>ß</w:t>
            </w:r>
          </w:p>
        </w:tc>
        <w:tc>
          <w:tcPr>
            <w:tcW w:type="dxa" w:w="780"/>
          </w:tcPr>
          <w:p>
            <w:r>
              <w:t>0223</w:t>
            </w:r>
          </w:p>
        </w:tc>
        <w:tc>
          <w:tcPr>
            <w:tcW w:type="dxa" w:w="780"/>
          </w:tcPr>
          <w:p>
            <w:r>
              <w:t>ÿ</w:t>
            </w:r>
          </w:p>
        </w:tc>
        <w:tc>
          <w:tcPr>
            <w:tcW w:type="dxa" w:w="780"/>
          </w:tcPr>
          <w:p>
            <w:r>
              <w:t>0255</w:t>
            </w:r>
          </w:p>
        </w:tc>
        <w:tc>
          <w:tcPr>
            <w:tcW w:type="dxa" w:w="780"/>
          </w:tcPr>
          <w:p/>
        </w:tc>
        <w:tc>
          <w:tcPr>
            <w:tcW w:type="dxa" w:w="780"/>
          </w:tcPr>
          <w:p/>
        </w:tc>
        <w:tc>
          <w:tcPr>
            <w:tcW w:type="dxa" w:w="780"/>
          </w:tcPr>
          <w:p/>
        </w:tc>
        <w:tc>
          <w:tcPr>
            <w:tcW w:type="dxa" w:w="780"/>
          </w:tcPr>
          <w:p/>
        </w:tc>
      </w:tr>
      <w:tr>
        <w:tc>
          <w:tcPr>
            <w:tcW w:type="dxa" w:w="780"/>
          </w:tcPr>
          <w:p>
            <w:r>
              <w:t>À</w:t>
            </w:r>
          </w:p>
        </w:tc>
        <w:tc>
          <w:tcPr>
            <w:tcW w:type="dxa" w:w="780"/>
          </w:tcPr>
          <w:p>
            <w:r/>
          </w:p>
        </w:tc>
        <w:tc>
          <w:tcPr>
            <w:tcW w:type="dxa" w:w="1300"/>
          </w:tcPr>
          <w:p>
            <w:r>
              <w:t>0192</w:t>
            </w:r>
          </w:p>
        </w:tc>
        <w:tc>
          <w:tcPr>
            <w:tcW w:type="dxa" w:w="780"/>
          </w:tcPr>
          <w:p>
            <w:r>
              <w:t>à</w:t>
            </w:r>
          </w:p>
        </w:tc>
        <w:tc>
          <w:tcPr>
            <w:tcW w:type="dxa" w:w="780"/>
          </w:tcPr>
          <w:p>
            <w:r>
              <w:t>0224</w:t>
            </w:r>
          </w:p>
        </w:tc>
        <w:tc>
          <w:tcPr>
            <w:tcW w:type="dxa" w:w="780"/>
          </w:tcPr>
          <w:p>
            <w:r>
              <w:t>¡</w:t>
            </w:r>
          </w:p>
        </w:tc>
        <w:tc>
          <w:tcPr>
            <w:tcW w:type="dxa" w:w="780"/>
          </w:tcPr>
          <w:p>
            <w:r>
              <w:t>0161</w:t>
            </w:r>
          </w:p>
        </w:tc>
        <w:tc>
          <w:tcPr>
            <w:tcW w:type="dxa" w:w="780"/>
          </w:tcPr>
          <w:p/>
        </w:tc>
        <w:tc>
          <w:tcPr>
            <w:tcW w:type="dxa" w:w="780"/>
          </w:tcPr>
          <w:p/>
        </w:tc>
        <w:tc>
          <w:tcPr>
            <w:tcW w:type="dxa" w:w="780"/>
          </w:tcPr>
          <w:p/>
        </w:tc>
        <w:tc>
          <w:tcPr>
            <w:tcW w:type="dxa" w:w="780"/>
          </w:tcPr>
          <w:p/>
        </w:tc>
      </w:tr>
      <w:tr>
        <w:tc>
          <w:tcPr>
            <w:tcW w:type="dxa" w:w="780"/>
          </w:tcPr>
          <w:p>
            <w:r>
              <w:t>Á</w:t>
            </w:r>
          </w:p>
        </w:tc>
        <w:tc>
          <w:tcPr>
            <w:tcW w:type="dxa" w:w="780"/>
          </w:tcPr>
          <w:p>
            <w:r/>
          </w:p>
        </w:tc>
        <w:tc>
          <w:tcPr>
            <w:tcW w:type="dxa" w:w="1300"/>
          </w:tcPr>
          <w:p>
            <w:r>
              <w:t>0193</w:t>
            </w:r>
          </w:p>
        </w:tc>
        <w:tc>
          <w:tcPr>
            <w:tcW w:type="dxa" w:w="780"/>
          </w:tcPr>
          <w:p>
            <w:r>
              <w:t>á</w:t>
            </w:r>
          </w:p>
        </w:tc>
        <w:tc>
          <w:tcPr>
            <w:tcW w:type="dxa" w:w="780"/>
          </w:tcPr>
          <w:p>
            <w:r>
              <w:t>0225</w:t>
            </w:r>
          </w:p>
        </w:tc>
        <w:tc>
          <w:tcPr>
            <w:tcW w:type="dxa" w:w="780"/>
          </w:tcPr>
          <w:p>
            <w:r>
              <w:t>¥</w:t>
            </w:r>
          </w:p>
        </w:tc>
        <w:tc>
          <w:tcPr>
            <w:tcW w:type="dxa" w:w="780"/>
          </w:tcPr>
          <w:p>
            <w:r>
              <w:t>0165</w:t>
            </w:r>
          </w:p>
        </w:tc>
        <w:tc>
          <w:tcPr>
            <w:tcW w:type="dxa" w:w="780"/>
          </w:tcPr>
          <w:p/>
        </w:tc>
        <w:tc>
          <w:tcPr>
            <w:tcW w:type="dxa" w:w="780"/>
          </w:tcPr>
          <w:p/>
        </w:tc>
        <w:tc>
          <w:tcPr>
            <w:tcW w:type="dxa" w:w="780"/>
          </w:tcPr>
          <w:p/>
        </w:tc>
        <w:tc>
          <w:tcPr>
            <w:tcW w:type="dxa" w:w="780"/>
          </w:tcPr>
          <w:p/>
        </w:tc>
      </w:tr>
      <w:tr>
        <w:tc>
          <w:tcPr>
            <w:tcW w:type="dxa" w:w="780"/>
          </w:tcPr>
          <w:p>
            <w:r>
              <w:t>Â</w:t>
            </w:r>
          </w:p>
        </w:tc>
        <w:tc>
          <w:tcPr>
            <w:tcW w:type="dxa" w:w="780"/>
          </w:tcPr>
          <w:p>
            <w:r/>
          </w:p>
        </w:tc>
        <w:tc>
          <w:tcPr>
            <w:tcW w:type="dxa" w:w="1300"/>
          </w:tcPr>
          <w:p>
            <w:r>
              <w:t>0194</w:t>
            </w:r>
          </w:p>
        </w:tc>
        <w:tc>
          <w:tcPr>
            <w:tcW w:type="dxa" w:w="780"/>
          </w:tcPr>
          <w:p>
            <w:r>
              <w:t>â</w:t>
            </w:r>
          </w:p>
        </w:tc>
        <w:tc>
          <w:tcPr>
            <w:tcW w:type="dxa" w:w="780"/>
          </w:tcPr>
          <w:p>
            <w:r>
              <w:t>0226</w:t>
            </w:r>
          </w:p>
        </w:tc>
        <w:tc>
          <w:tcPr>
            <w:tcW w:type="dxa" w:w="780"/>
          </w:tcPr>
          <w:p>
            <w:r>
              <w:t>¹</w:t>
            </w:r>
          </w:p>
        </w:tc>
        <w:tc>
          <w:tcPr>
            <w:tcW w:type="dxa" w:w="780"/>
          </w:tcPr>
          <w:p>
            <w:r>
              <w:t>0185</w:t>
            </w:r>
          </w:p>
        </w:tc>
        <w:tc>
          <w:tcPr>
            <w:tcW w:type="dxa" w:w="780"/>
          </w:tcPr>
          <w:p/>
        </w:tc>
        <w:tc>
          <w:tcPr>
            <w:tcW w:type="dxa" w:w="780"/>
          </w:tcPr>
          <w:p/>
        </w:tc>
        <w:tc>
          <w:tcPr>
            <w:tcW w:type="dxa" w:w="780"/>
          </w:tcPr>
          <w:p/>
        </w:tc>
        <w:tc>
          <w:tcPr>
            <w:tcW w:type="dxa" w:w="780"/>
          </w:tcPr>
          <w:p/>
        </w:tc>
      </w:tr>
      <w:tr>
        <w:tc>
          <w:tcPr>
            <w:tcW w:type="dxa" w:w="780"/>
          </w:tcPr>
          <w:p>
            <w:r>
              <w:t>Ã</w:t>
            </w:r>
          </w:p>
        </w:tc>
        <w:tc>
          <w:tcPr>
            <w:tcW w:type="dxa" w:w="780"/>
          </w:tcPr>
          <w:p>
            <w:r/>
          </w:p>
        </w:tc>
        <w:tc>
          <w:tcPr>
            <w:tcW w:type="dxa" w:w="1300"/>
          </w:tcPr>
          <w:p>
            <w:r>
              <w:t>0195</w:t>
            </w:r>
          </w:p>
        </w:tc>
        <w:tc>
          <w:tcPr>
            <w:tcW w:type="dxa" w:w="780"/>
          </w:tcPr>
          <w:p>
            <w:r>
              <w:t>ã</w:t>
            </w:r>
          </w:p>
        </w:tc>
        <w:tc>
          <w:tcPr>
            <w:tcW w:type="dxa" w:w="780"/>
          </w:tcPr>
          <w:p>
            <w:r>
              <w:t>0227</w:t>
            </w:r>
          </w:p>
        </w:tc>
        <w:tc>
          <w:tcPr>
            <w:tcW w:type="dxa" w:w="780"/>
          </w:tcPr>
          <w:p>
            <w:r>
              <w:t>º</w:t>
            </w:r>
          </w:p>
        </w:tc>
        <w:tc>
          <w:tcPr>
            <w:tcW w:type="dxa" w:w="780"/>
          </w:tcPr>
          <w:p>
            <w:r>
              <w:t>0186</w:t>
            </w:r>
          </w:p>
        </w:tc>
        <w:tc>
          <w:tcPr>
            <w:tcW w:type="dxa" w:w="780"/>
          </w:tcPr>
          <w:p/>
        </w:tc>
        <w:tc>
          <w:tcPr>
            <w:tcW w:type="dxa" w:w="780"/>
          </w:tcPr>
          <w:p/>
        </w:tc>
        <w:tc>
          <w:tcPr>
            <w:tcW w:type="dxa" w:w="780"/>
          </w:tcPr>
          <w:p/>
        </w:tc>
        <w:tc>
          <w:tcPr>
            <w:tcW w:type="dxa" w:w="780"/>
          </w:tcPr>
          <w:p/>
        </w:tc>
      </w:tr>
      <w:tr>
        <w:tc>
          <w:tcPr>
            <w:tcW w:type="dxa" w:w="780"/>
          </w:tcPr>
          <w:p>
            <w:r>
              <w:t>Ä</w:t>
            </w:r>
          </w:p>
        </w:tc>
        <w:tc>
          <w:tcPr>
            <w:tcW w:type="dxa" w:w="780"/>
          </w:tcPr>
          <w:p>
            <w:r/>
          </w:p>
        </w:tc>
        <w:tc>
          <w:tcPr>
            <w:tcW w:type="dxa" w:w="1300"/>
          </w:tcPr>
          <w:p>
            <w:r>
              <w:t>0196</w:t>
            </w:r>
          </w:p>
        </w:tc>
        <w:tc>
          <w:tcPr>
            <w:tcW w:type="dxa" w:w="780"/>
          </w:tcPr>
          <w:p>
            <w:r>
              <w:t>ä</w:t>
            </w:r>
          </w:p>
        </w:tc>
        <w:tc>
          <w:tcPr>
            <w:tcW w:type="dxa" w:w="780"/>
          </w:tcPr>
          <w:p>
            <w:r>
              <w:t>0228</w:t>
            </w:r>
          </w:p>
        </w:tc>
        <w:tc>
          <w:tcPr>
            <w:tcW w:type="dxa" w:w="780"/>
          </w:tcPr>
          <w:p>
            <w:r>
              <w:t>»</w:t>
            </w:r>
          </w:p>
        </w:tc>
        <w:tc>
          <w:tcPr>
            <w:tcW w:type="dxa" w:w="780"/>
          </w:tcPr>
          <w:p>
            <w:r>
              <w:t>0187</w:t>
            </w:r>
          </w:p>
        </w:tc>
        <w:tc>
          <w:tcPr>
            <w:tcW w:type="dxa" w:w="780"/>
          </w:tcPr>
          <w:p/>
        </w:tc>
        <w:tc>
          <w:tcPr>
            <w:tcW w:type="dxa" w:w="780"/>
          </w:tcPr>
          <w:p/>
        </w:tc>
        <w:tc>
          <w:tcPr>
            <w:tcW w:type="dxa" w:w="780"/>
          </w:tcPr>
          <w:p/>
        </w:tc>
        <w:tc>
          <w:tcPr>
            <w:tcW w:type="dxa" w:w="780"/>
          </w:tcPr>
          <w:p/>
        </w:tc>
      </w:tr>
      <w:tr>
        <w:tc>
          <w:tcPr>
            <w:tcW w:type="dxa" w:w="780"/>
          </w:tcPr>
          <w:p>
            <w:r>
              <w:t>Å</w:t>
            </w:r>
          </w:p>
        </w:tc>
        <w:tc>
          <w:tcPr>
            <w:tcW w:type="dxa" w:w="780"/>
          </w:tcPr>
          <w:p>
            <w:r/>
          </w:p>
        </w:tc>
        <w:tc>
          <w:tcPr>
            <w:tcW w:type="dxa" w:w="1300"/>
          </w:tcPr>
          <w:p>
            <w:r>
              <w:t>0197</w:t>
            </w:r>
          </w:p>
        </w:tc>
        <w:tc>
          <w:tcPr>
            <w:tcW w:type="dxa" w:w="780"/>
          </w:tcPr>
          <w:p>
            <w:r>
              <w:t>å</w:t>
            </w:r>
          </w:p>
        </w:tc>
        <w:tc>
          <w:tcPr>
            <w:tcW w:type="dxa" w:w="780"/>
          </w:tcPr>
          <w:p>
            <w:r>
              <w:t>0229</w:t>
            </w:r>
          </w:p>
        </w:tc>
        <w:tc>
          <w:tcPr>
            <w:tcW w:type="dxa" w:w="780"/>
          </w:tcPr>
          <w:p>
            <w:r>
              <w:t>ç</w:t>
            </w:r>
          </w:p>
        </w:tc>
        <w:tc>
          <w:tcPr>
            <w:tcW w:type="dxa" w:w="780"/>
          </w:tcPr>
          <w:p>
            <w:r>
              <w:t>0231</w:t>
            </w:r>
          </w:p>
        </w:tc>
        <w:tc>
          <w:tcPr>
            <w:tcW w:type="dxa" w:w="780"/>
          </w:tcPr>
          <w:p/>
        </w:tc>
        <w:tc>
          <w:tcPr>
            <w:tcW w:type="dxa" w:w="780"/>
          </w:tcPr>
          <w:p/>
        </w:tc>
        <w:tc>
          <w:tcPr>
            <w:tcW w:type="dxa" w:w="780"/>
          </w:tcPr>
          <w:p/>
        </w:tc>
        <w:tc>
          <w:tcPr>
            <w:tcW w:type="dxa" w:w="780"/>
          </w:tcPr>
          <w:p/>
        </w:tc>
      </w:tr>
      <w:tr>
        <w:tc>
          <w:tcPr>
            <w:tcW w:type="dxa" w:w="780"/>
          </w:tcPr>
          <w:p>
            <w:r>
              <w:t>Æ</w:t>
            </w:r>
          </w:p>
        </w:tc>
        <w:tc>
          <w:tcPr>
            <w:tcW w:type="dxa" w:w="780"/>
          </w:tcPr>
          <w:p>
            <w:r/>
          </w:p>
        </w:tc>
        <w:tc>
          <w:tcPr>
            <w:tcW w:type="dxa" w:w="1300"/>
          </w:tcPr>
          <w:p>
            <w:r>
              <w:t>0198</w:t>
            </w:r>
          </w:p>
        </w:tc>
        <w:tc>
          <w:tcPr>
            <w:tcW w:type="dxa" w:w="780"/>
          </w:tcPr>
          <w:p>
            <w:r>
              <w:t>æ</w:t>
            </w:r>
          </w:p>
        </w:tc>
        <w:tc>
          <w:tcPr>
            <w:tcW w:type="dxa" w:w="780"/>
          </w:tcPr>
          <w:p>
            <w:r>
              <w:t>0230</w:t>
            </w:r>
          </w:p>
        </w:tc>
        <w:tc>
          <w:tcPr>
            <w:tcW w:type="dxa" w:w="780"/>
          </w:tcPr>
          <w:p>
            <w:r>
              <w:t>è</w:t>
            </w:r>
          </w:p>
        </w:tc>
        <w:tc>
          <w:tcPr>
            <w:tcW w:type="dxa" w:w="780"/>
          </w:tcPr>
          <w:p>
            <w:r>
              <w:t>0232</w:t>
            </w:r>
          </w:p>
        </w:tc>
        <w:tc>
          <w:tcPr>
            <w:tcW w:type="dxa" w:w="780"/>
          </w:tcPr>
          <w:p/>
        </w:tc>
        <w:tc>
          <w:tcPr>
            <w:tcW w:type="dxa" w:w="780"/>
          </w:tcPr>
          <w:p/>
        </w:tc>
        <w:tc>
          <w:tcPr>
            <w:tcW w:type="dxa" w:w="780"/>
          </w:tcPr>
          <w:p/>
        </w:tc>
        <w:tc>
          <w:tcPr>
            <w:tcW w:type="dxa" w:w="780"/>
          </w:tcPr>
          <w:p/>
        </w:tc>
      </w:tr>
      <w:tr>
        <w:tc>
          <w:tcPr>
            <w:tcW w:type="dxa" w:w="780"/>
          </w:tcPr>
          <w:p>
            <w:r>
              <w:t>Ç</w:t>
            </w:r>
          </w:p>
        </w:tc>
        <w:tc>
          <w:tcPr>
            <w:tcW w:type="dxa" w:w="780"/>
          </w:tcPr>
          <w:p>
            <w:r/>
          </w:p>
        </w:tc>
        <w:tc>
          <w:tcPr>
            <w:tcW w:type="dxa" w:w="1300"/>
          </w:tcPr>
          <w:p>
            <w:r>
              <w:t>0199</w:t>
            </w:r>
          </w:p>
        </w:tc>
        <w:tc>
          <w:tcPr>
            <w:tcW w:type="dxa" w:w="780"/>
          </w:tcPr>
          <w:p>
            <w:r>
              <w:t>ç</w:t>
            </w:r>
          </w:p>
        </w:tc>
        <w:tc>
          <w:tcPr>
            <w:tcW w:type="dxa" w:w="780"/>
          </w:tcPr>
          <w:p>
            <w:r>
              <w:t>0231</w:t>
            </w:r>
          </w:p>
        </w:tc>
        <w:tc>
          <w:tcPr>
            <w:tcW w:type="dxa" w:w="780"/>
          </w:tcPr>
          <w:p>
            <w:r>
              <w:t>é</w:t>
            </w:r>
          </w:p>
        </w:tc>
        <w:tc>
          <w:tcPr>
            <w:tcW w:type="dxa" w:w="780"/>
          </w:tcPr>
          <w:p>
            <w:r>
              <w:t>0233</w:t>
            </w:r>
          </w:p>
        </w:tc>
        <w:tc>
          <w:tcPr>
            <w:tcW w:type="dxa" w:w="780"/>
          </w:tcPr>
          <w:p/>
        </w:tc>
        <w:tc>
          <w:tcPr>
            <w:tcW w:type="dxa" w:w="780"/>
          </w:tcPr>
          <w:p/>
        </w:tc>
        <w:tc>
          <w:tcPr>
            <w:tcW w:type="dxa" w:w="780"/>
          </w:tcPr>
          <w:p/>
        </w:tc>
        <w:tc>
          <w:tcPr>
            <w:tcW w:type="dxa" w:w="780"/>
          </w:tcPr>
          <w:p/>
        </w:tc>
      </w:tr>
      <w:tr>
        <w:tc>
          <w:tcPr>
            <w:tcW w:type="dxa" w:w="780"/>
          </w:tcPr>
          <w:p>
            <w:r>
              <w:t>§</w:t>
            </w:r>
          </w:p>
        </w:tc>
        <w:tc>
          <w:tcPr>
            <w:tcW w:type="dxa" w:w="780"/>
          </w:tcPr>
          <w:p>
            <w:r>
              <w:t>6</w:t>
            </w:r>
          </w:p>
        </w:tc>
        <w:tc>
          <w:tcPr>
            <w:tcW w:type="dxa" w:w="1300"/>
          </w:tcPr>
          <w:p>
            <w:r/>
          </w:p>
        </w:tc>
        <w:tc>
          <w:tcPr>
            <w:tcW w:type="dxa" w:w="780"/>
          </w:tcPr>
          <w:p>
            <w:r/>
          </w:p>
        </w:tc>
        <w:tc>
          <w:tcPr>
            <w:tcW w:type="dxa" w:w="780"/>
          </w:tcPr>
          <w:p>
            <w:r/>
          </w:p>
        </w:tc>
        <w:tc>
          <w:tcPr>
            <w:tcW w:type="dxa" w:w="780"/>
          </w:tcPr>
          <w:p>
            <w:r/>
          </w:p>
        </w:tc>
        <w:tc>
          <w:tcPr>
            <w:tcW w:type="dxa" w:w="780"/>
          </w:tcPr>
          <w:p>
            <w:r/>
          </w:p>
        </w:tc>
        <w:tc>
          <w:tcPr>
            <w:tcW w:type="dxa" w:w="780"/>
          </w:tcPr>
          <w:p/>
        </w:tc>
        <w:tc>
          <w:tcPr>
            <w:tcW w:type="dxa" w:w="780"/>
          </w:tcPr>
          <w:p/>
        </w:tc>
        <w:tc>
          <w:tcPr>
            <w:tcW w:type="dxa" w:w="780"/>
          </w:tcPr>
          <w:p/>
        </w:tc>
        <w:tc>
          <w:tcPr>
            <w:tcW w:type="dxa" w:w="780"/>
          </w:tcPr>
          <w:p/>
        </w:tc>
      </w:tr>
    </w:tbl>
    <w:p>
      <w:pPr>
        <w:spacing w:after="120"/>
      </w:pPr>
      <w:r>
        <w:rPr>
          <w:highlight w:val="yellow"/>
          <w:highlightCs w:val="yellow"/>
        </w:rPr>
        <w:t xml:space="preserve">Note: the original quick-keys table has been preserved with the most commonly used characters; full character set (including Latin extended characters) lives in Ward7’s original document.</w:t>
      </w:r>
    </w:p>
    <w:p>
      <w:pPr>
        <w:pStyle w:val="Heading2"/>
        <w:spacing w:after="120" w:before="280"/>
      </w:pPr>
      <w:r>
        <w:t xml:space="preserve">Other useful Quick Keys (Ctrl + letter/number)</w:t>
      </w:r>
    </w:p>
    <w:tbl>
      <w:tblPr>
        <w:tblW w:type="dxa" w:w="8700"/>
        <w:tblBorders>
          <w:top w:val="single" w:color="auto" w:sz="4"/>
          <w:left w:val="single" w:color="auto" w:sz="4"/>
          <w:bottom w:val="single" w:color="auto" w:sz="4"/>
          <w:right w:val="single" w:color="auto" w:sz="4"/>
          <w:insideH w:val="single" w:color="auto" w:sz="4"/>
          <w:insideV w:val="single" w:color="auto" w:sz="4"/>
        </w:tblBorders>
      </w:tblPr>
      <w:tblGrid>
        <w:gridCol w:w="780"/>
        <w:gridCol w:w="1860"/>
        <w:gridCol w:w="780"/>
        <w:gridCol w:w="1860"/>
        <w:gridCol w:w="780"/>
        <w:gridCol w:w="1860"/>
        <w:gridCol w:w="780"/>
      </w:tblGrid>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A</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Select all</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B</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Bold</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C</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Copy</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D</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Font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E</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Centre</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F</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Find</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G</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Go to</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H</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Replace</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I</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Italic</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J</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Justify</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K</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Insert hyperlink</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L</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Left align</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M</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Indent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N</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New document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O</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Open</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P</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Print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Q</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Format paragraph</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R</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Right align</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S</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Save</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T</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Hanging indent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U</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Underline</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V</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Paste</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W</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Close document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X</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Cut</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Y</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Repeat typing</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Z</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Undo typing</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1</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Decrease paragraph spacing</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2</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Increase line spacing (double)</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3</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Lock fields</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r>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4</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Unlock fields</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5</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Increase line spacing (1.5)</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0</w:t>
            </w:r>
          </w:p>
        </w:tc>
        <w:tc>
          <w:tcPr>
            <w:tcW w:type="dxa" w:w="186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Open or close up paragraph</w:t>
            </w:r>
          </w:p>
        </w:tc>
        <w:tc>
          <w:tcPr>
            <w:tcW w:type="dxa" w:w="780"/>
            <w:tcBorders>
              <w:top w:val="single" w:color="BBBBBB" w:sz="4"/>
              <w:left w:val="single" w:color="BBBBBB" w:sz="4"/>
              <w:bottom w:val="single" w:color="BBBBBB" w:sz="4"/>
              <w:right w:val="single" w:color="BBBBBB" w:sz="4"/>
            </w:tcBorders>
            <w:tcMar>
              <w:top w:type="dxa" w:w="60"/>
              <w:left w:type="dxa" w:w="100"/>
              <w:bottom w:type="dxa" w:w="60"/>
              <w:right w:type="dxa" w:w="100"/>
            </w:tcMar>
          </w:tcPr>
          <w:p>
            <w:r>
              <w:rPr>
                <w:b w:val="false"/>
                <w:bCs w:val="false"/>
                <w:sz w:val="18"/>
                <w:szCs w:val="18"/>
              </w:rPr>
              <w:t xml:space="preserve"/>
            </w:r>
          </w:p>
        </w:tc>
      </w:tr>
    </w:tbl>
    <w:p>
      <w:r>
        <w:br w:type="page"/>
      </w:r>
    </w:p>
    <w:p>
      <w:pPr>
        <w:pStyle w:val="Heading1"/>
        <w:spacing w:after="180" w:before="360"/>
      </w:pPr>
      <w:r>
        <w:t xml:space="preserve">Companion documents</w:t>
      </w:r>
    </w:p>
    <w:p>
      <w:pPr>
        <w:spacing w:after="120"/>
      </w:pPr>
      <w:r>
        <w:rPr>
          <w:b/>
          <w:bCs/>
        </w:rPr>
        <w:t xml:space="preserve">Ward7 References Style</w:t>
      </w:r>
      <w:r>
        <w:t xml:space="preserve"> — in-text citation (draft + final) and reference list format (journals, books, websites, unpublished data).</w:t>
      </w:r>
    </w:p>
    <w:p>
      <w:pPr>
        <w:spacing w:after="120"/>
      </w:pPr>
      <w:r>
        <w:rPr>
          <w:b/>
          <w:bCs/>
        </w:rPr>
        <w:t xml:space="preserve">Ward7 Production Workflow</w:t>
      </w:r>
      <w:r>
        <w:t xml:space="preserve"> — copy doc template, Word vs PowerPoint preferences, layout instruction notation, version control.</w:t>
      </w:r>
    </w:p>
    <w:p>
      <w:pPr>
        <w:spacing w:after="120"/>
      </w:pPr>
      <w:r>
        <w:rPr>
          <w:b/>
          <w:bCs/>
        </w:rPr>
        <w:t xml:space="preserve">Ward7 Voice &amp; Tone</w:t>
      </w:r>
      <w:r>
        <w:t xml:space="preserve"> — voice descriptors, sentence-level guidance, tone sliders, voice exemplars (proposed; for team review).</w:t>
      </w:r>
    </w:p>
    <w:p>
      <w:pPr>
        <w:spacing w:after="120"/>
      </w:pPr>
      <w:r>
        <w:rPr>
          <w:b/>
          <w:bCs/>
        </w:rPr>
        <w:t>Audience tiers and per-tier register defaults are handled at the brand level, in each brand's Audiences document.</w:t>
      </w:r>
      <w:r/>
    </w:p>
    <w:p>
      <w:pPr>
        <w:spacing w:after="120"/>
      </w:pPr>
      <w:r>
        <w:rPr>
          <w:b/>
          <w:bCs/>
        </w:rPr>
        <w:t xml:space="preserve">Ward7 Compliance &amp; Regulatory Framing</w:t>
      </w:r>
      <w:r>
        <w:t xml:space="preserve"> — fair balance, comparator claims, off-label, claim substantiation, Medicines Australia Code (proposed).</w:t>
      </w:r>
    </w:p>
    <w:p>
      <w:pPr>
        <w:spacing w:after="120"/>
      </w:pPr>
      <w:r>
        <w:rPr>
          <w:b/>
          <w:bCs/>
        </w:rPr>
        <w:t xml:space="preserve">Ward7 Digital Writing</w:t>
      </w:r>
      <w:r>
        <w:t xml:space="preserve"> — headlines, CTAs, accessibility, character limits, mobile-first (proposed).</w:t>
      </w:r>
    </w:p>
    <w:p>
      <w:pPr>
        <w:spacing w:after="120"/>
      </w:pPr>
      <w:r>
        <w:rPr>
          <w:b/>
          <w:bCs/>
        </w:rPr>
        <w:t xml:space="preserve">Ward7 Style Architecture &amp; Skill Map</w:t>
      </w:r>
      <w:r>
        <w:t xml:space="preserve"> — index of all docs, ownership, decay rates, skill-application matrix.</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77777"/>
        <w:sz w:val="18"/>
        <w:szCs w:val="18"/>
      </w:rPr>
      <w:t xml:space="preserve">Page </w:t>
    </w:r>
    <w:r>
      <w:rPr>
        <w:color w:val="777777"/>
        <w:sz w:val="18"/>
        <w:szCs w:val="18"/>
      </w:rPr>
      <w:fldChar w:fldCharType="begin"/>
      <w:instrText xml:space="preserve">PAGE</w:instrText>
      <w:fldChar w:fldCharType="separate"/>
      <w:fldChar w:fldCharType="end"/>
    </w:r>
    <w:r>
      <w:rPr>
        <w:color w:val="777777"/>
        <w:sz w:val="18"/>
        <w:szCs w:val="18"/>
      </w:rPr>
      <w:t xml:space="preserve"> of </w:t>
    </w:r>
    <w:r>
      <w:rPr>
        <w:color w:val="777777"/>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777777"/>
        <w:sz w:val="18"/>
        <w:szCs w:val="18"/>
      </w:rPr>
      <w:t xml:space="preserve">Ward7  |  Style &amp; Process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2937"/>
      <w:sz w:val="32"/>
      <w:szCs w:val="32"/>
    </w:rPr>
  </w:style>
  <w:style w:type="paragraph" w:styleId="Heading2">
    <w:name w:val="Heading 2"/>
    <w:basedOn w:val="Normal"/>
    <w:next w:val="Normal"/>
    <w:qFormat/>
    <w:pPr>
      <w:spacing w:after="120" w:before="280"/>
      <w:outlineLvl w:val="1"/>
    </w:pPr>
    <w:rPr>
      <w:rFonts w:ascii="Calibri" w:cs="Calibri" w:eastAsia="Calibri" w:hAnsi="Calibri"/>
      <w:b/>
      <w:bCs/>
      <w:color w:val="1F2937"/>
      <w:sz w:val="26"/>
      <w:szCs w:val="26"/>
    </w:rPr>
  </w:style>
  <w:style w:type="paragraph" w:styleId="Heading3">
    <w:name w:val="Heading 3"/>
    <w:basedOn w:val="Normal"/>
    <w:next w:val="Normal"/>
    <w:qFormat/>
    <w:pPr>
      <w:spacing w:after="80" w:before="200"/>
      <w:outlineLvl w:val="2"/>
    </w:pPr>
    <w:rPr>
      <w:rFonts w:ascii="Calibri" w:cs="Calibri" w:eastAsia="Calibri" w:hAnsi="Calibri"/>
      <w:b/>
      <w:bCs/>
      <w:color w:val="374151"/>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Ward7 Style &amp; Process</dc:title>
  <dc:creator>Ward7</dc:creator>
  <cp:lastModifiedBy>Un-named</cp:lastModifiedBy>
  <cp:revision>1</cp:revision>
  <dcterms:created xsi:type="dcterms:W3CDTF">2026-05-05T06:59:39.144Z</dcterms:created>
  <dcterms:modified xsi:type="dcterms:W3CDTF">2026-05-05T06:59:39.144Z</dcterms:modified>
</cp:coreProperties>
</file>

<file path=docProps/custom.xml><?xml version="1.0" encoding="utf-8"?>
<Properties xmlns="http://schemas.openxmlformats.org/officeDocument/2006/custom-properties" xmlns:vt="http://schemas.openxmlformats.org/officeDocument/2006/docPropsVTypes"/>
</file>