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/>
        <w:jc w:val="left"/>
      </w:pPr>
      <w:r>
        <w:rPr>
          <w:b/>
          <w:bCs/>
          <w:sz w:val="44"/>
          <w:szCs w:val="44"/>
        </w:rPr>
        <w:t xml:space="preserve">Ward7 Digital Writing</w:t>
      </w:r>
    </w:p>
    <w:p>
      <w:pPr>
        <w:spacing w:after="120"/>
      </w:pPr>
      <w:r>
        <w:rPr>
          <w:color w:val="555555"/>
          <w:sz w:val="28"/>
          <w:szCs w:val="28"/>
        </w:rPr>
        <w:t xml:space="preserve">Headlines, CTAs, accessibility, character limits, mobile-first</w:t>
      </w:r>
    </w:p>
    <w:p>
      <w:pPr>
        <w:spacing w:after="240"/>
      </w:pPr>
      <w:r>
        <w:rPr>
          <w:i/>
          <w:iCs/>
          <w:color w:val="777777"/>
        </w:rPr>
        <w:t xml:space="preserve">New document. Ward7’s working house style assumed print/PDF/manuscript deliverables. Starter content mirrors Ward6’s parallel doc; Ward7 to confirm.</w:t>
      </w:r>
    </w:p>
    <w:p>
      <w:pPr>
        <w:spacing w:after="120"/>
      </w:pPr>
      <w:r>
        <w:t xml:space="preserve">This document covers the rules that apply specifically to digital deliverables — websites, eDetailers, emails, social, search, mobile. House Style still applies underneath; this document captures what changes when the deliverable is read on a screen.</w:t>
      </w:r>
    </w:p>
    <w:p>
      <w:pPr>
        <w:pBdr>
          <w:bottom w:val="single" w:color="999999" w:sz="6" w:space="1"/>
        </w:pBdr>
        <w:spacing w:after="240"/>
      </w:pPr>
    </w:p>
    <w:p>
      <w:pPr>
        <w:pStyle w:val="Heading1"/>
        <w:spacing w:after="180" w:before="360"/>
      </w:pPr>
      <w:r>
        <w:t xml:space="preserve">How to read this document</w:t>
      </w:r>
    </w:p>
    <w:p>
      <w:pPr>
        <w:spacing w:after="120"/>
      </w:pPr>
      <w:r>
        <w:rPr>
          <w:highlight w:val="yellow"/>
          <w:highlightCs w:val="yellow"/>
        </w:rPr>
        <w:t xml:space="preserve">All content is highlighted as PROPOSED because Ward7’s working house style had no digital section.</w:t>
      </w:r>
    </w:p>
    <w:p>
      <w:pPr>
        <w:pStyle w:val="Heading1"/>
        <w:spacing w:after="180" w:before="360"/>
      </w:pPr>
      <w:r>
        <w:t xml:space="preserve">Headlines and CTAs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Headlines: sentence case (consistent with Ward7’s sentence-case rule for all headers), under 70 characters where possible.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Sub-headings should let a reader skim and still understand the page.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CTAs: action verb first, no more than four words where possible (“Find a clinic”, “Read the study”, not “Click here to learn more”).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Avoid “Learn more” as a default CTA. Be specific about what the reader gets.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One primary CTA per screen. Secondary CTAs should be visually subordinate.</w:t>
      </w:r>
    </w:p>
    <w:p>
      <w:pPr>
        <w:pStyle w:val="Heading1"/>
        <w:spacing w:after="180" w:before="360"/>
      </w:pPr>
      <w:r>
        <w:t xml:space="preserve">Accessibility and alt text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Every image, chart, and infographic gets alt text — describe what the image shows, not what it looks like.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Charts/graphs: alt text states the headline finding (eg “Drug X reduced relapses by 40% vs placebo at 12 months”), not just “bar chart”.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Decorative-only images can use empty alt (alt=""), so screen readers skip them — but this is a deliberate choice, not a default.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Use proper heading hierarchy in HTML (H1 → H2 → H3). Don’t skip levels for visual styling.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Colour: never the sole carrier of meaning. Pair with text or icon.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Link text: descriptive, not “click here”. The link text should make sense out of context.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Aim to meet WCAG 2.2 AA as a default. Team to confirm exact accessibility commitments per client.</w:t>
      </w:r>
    </w:p>
    <w:p>
      <w:pPr>
        <w:pStyle w:val="Heading1"/>
        <w:spacing w:after="180" w:before="360"/>
      </w:pPr>
      <w:r>
        <w:t xml:space="preserve">Character limits and platform-specific formats</w:t>
      </w:r>
    </w:p>
    <w:p>
      <w:pPr>
        <w:spacing w:after="120"/>
      </w:pPr>
      <w:r>
        <w:rPr>
          <w:highlight w:val="yellow"/>
          <w:highlightCs w:val="yellow"/>
        </w:rPr>
        <w:t xml:space="preserve">Starter list — team to confirm and extend with platforms Ward7 actively uses: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LinkedIn post (sponsored or organic): hook in first 140 characters before the “see more” fold.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Email subject line: under 50 characters; preview text under 90.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Web meta description: 150–160 characters.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Web page title (browser tab): under 60 characters.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Twitter/X post: 280-character cap; aim for 240 to leave room for retweets.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Instagram caption: hook in first 125 characters before the truncation point.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Conference app / eDetailer platforms: confirm limits per platform.</w:t>
      </w:r>
    </w:p>
    <w:p>
      <w:pPr>
        <w:pStyle w:val="Heading1"/>
        <w:spacing w:after="180" w:before="360"/>
      </w:pPr>
      <w:r>
        <w:t xml:space="preserve">Mobile-first considerations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Short paragraphs (1–3 sentences) — mobile reading rewards scannability.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Break dense copy with subheadings, pull-quotes, or callout boxes.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Avoid wide tables; design for vertical reading or progressive disclosure.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Avoid copy that depends on layout — text that reads correctly only when the surrounding visuals load.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Tap targets: where the writer specifies a button or link, expect ≥44px tap target on mobile.</w:t>
      </w:r>
    </w:p>
    <w:p>
      <w:pPr>
        <w:pStyle w:val="Heading1"/>
        <w:spacing w:after="180" w:before="360"/>
      </w:pPr>
      <w:r>
        <w:t xml:space="preserve">Email-specific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Subject line: lead with the most specific noun. “Drug X label update” beats “Important update on Drug X”.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Preview text: complement, don’t repeat, the subject line.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First 100 words: assume that’s all that gets read. Lead with the news.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Single primary CTA. Secondary information below the fold.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Plain-text alternative: still required for many corporate inboxes; check the brief.</w:t>
      </w:r>
    </w:p>
    <w:p>
      <w:pPr>
        <w:pStyle w:val="Heading1"/>
        <w:spacing w:after="180" w:before="360"/>
      </w:pPr>
      <w:r>
        <w:t xml:space="preserve">Search and structured content  [PROPOSED]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Page title and H1: shouldn’t be identical, but should clearly signal the same topic.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Question-led headings (“What is X?”, “How is X treated?”) work for both readers and search.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Schema/structured data: where the team or developer adds it, copy should be written in a way that the schema fields can populate cleanly.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Avoid keyword-stuffing; write for the reader. Search has caught up.</w:t>
      </w:r>
    </w:p>
    <w:p>
      <w:pPr>
        <w:pStyle w:val="Heading1"/>
        <w:spacing w:after="180" w:before="360"/>
      </w:pPr>
      <w:r>
        <w:t xml:space="preserve">Companion documents</w:t>
      </w:r>
    </w:p>
    <w:p>
      <w:pPr>
        <w:spacing w:after="120"/>
      </w:pPr>
      <w:r>
        <w:rPr>
          <w:b/>
          <w:bCs/>
        </w:rPr>
        <w:t xml:space="preserve">Ward7 House Style</w:t>
      </w:r>
      <w:r>
        <w:t xml:space="preserve"> — sentence-case rule, proposed banned phrases, number formatting all still apply.</w:t>
      </w:r>
    </w:p>
    <w:p>
      <w:pPr>
        <w:spacing w:after="120"/>
      </w:pPr>
      <w:r>
        <w:rPr>
          <w:b/>
          <w:bCs/>
        </w:rPr>
        <w:t>Audience is handled at the brand level; digital tone register varies by audience, so pair with the brand's audience definitions.</w:t>
      </w:r>
      <w:r/>
    </w:p>
    <w:p>
      <w:pPr>
        <w:spacing w:after="120"/>
      </w:pPr>
      <w:r>
        <w:rPr>
          <w:b/>
          <w:bCs/>
        </w:rPr>
        <w:t xml:space="preserve">Ward7 Voice &amp; Tone</w:t>
      </w:r>
      <w:r>
        <w:t xml:space="preserve"> — voice stays consistent on digital; register loosens slightly.</w:t>
      </w:r>
    </w:p>
    <w:p>
      <w:pPr>
        <w:spacing w:after="120"/>
      </w:pPr>
      <w:r>
        <w:rPr>
          <w:b/>
          <w:bCs/>
        </w:rPr>
        <w:t xml:space="preserve">Ward7 Compliance &amp; Regulatory Framing</w:t>
      </w:r>
      <w:r>
        <w:t xml:space="preserve"> — fair balance, claim substantiation, and PBS/TGA wording all apply on digital.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77777"/>
        <w:sz w:val="18"/>
        <w:szCs w:val="18"/>
      </w:rPr>
      <w:t xml:space="preserve">Page </w:t>
    </w:r>
    <w:r>
      <w:rPr>
        <w:color w:val="777777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777777"/>
        <w:sz w:val="18"/>
        <w:szCs w:val="18"/>
      </w:rPr>
      <w:t xml:space="preserve"> of </w:t>
    </w:r>
    <w:r>
      <w:rPr>
        <w:color w:val="777777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777777"/>
        <w:sz w:val="18"/>
        <w:szCs w:val="18"/>
      </w:rPr>
      <w:t xml:space="preserve">Ward7  |  Style &amp;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F2937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1F2937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Calibri" w:cs="Calibri" w:eastAsia="Calibri" w:hAnsi="Calibri"/>
      <w:b/>
      <w:bCs/>
      <w:color w:val="374151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Ward7 Style &amp; Process</dc:title>
  <dc:creator>Ward7</dc:creator>
  <cp:lastModifiedBy>Un-named</cp:lastModifiedBy>
  <cp:revision>1</cp:revision>
  <dcterms:created xsi:type="dcterms:W3CDTF">2026-05-05T06:59:39.441Z</dcterms:created>
  <dcterms:modified xsi:type="dcterms:W3CDTF">2026-05-05T06:59:39.441Z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