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915C" w14:textId="77777777" w:rsidR="000D0B6B" w:rsidRDefault="00000000">
      <w:pPr>
        <w:spacing w:before="240" w:after="120"/>
      </w:pPr>
      <w:r>
        <w:rPr>
          <w:b/>
          <w:bCs/>
          <w:sz w:val="44"/>
          <w:szCs w:val="44"/>
        </w:rPr>
        <w:t>Ward6 Style Architecture &amp; Skill Map</w:t>
      </w:r>
    </w:p>
    <w:p w14:paraId="5F5F4073" w14:textId="77777777" w:rsidR="000D0B6B" w:rsidRDefault="00000000">
      <w:pPr>
        <w:spacing w:after="120"/>
      </w:pPr>
      <w:r>
        <w:rPr>
          <w:color w:val="555555"/>
          <w:sz w:val="28"/>
          <w:szCs w:val="28"/>
        </w:rPr>
        <w:t>How the documents fit together and how AI skills consume them</w:t>
      </w:r>
    </w:p>
    <w:p w14:paraId="6438674C" w14:textId="77777777" w:rsidR="000D0B6B" w:rsidRDefault="00000000">
      <w:pPr>
        <w:spacing w:after="240"/>
      </w:pPr>
      <w:r>
        <w:rPr>
          <w:i/>
          <w:iCs/>
          <w:color w:val="777777"/>
        </w:rPr>
        <w:t>New document. Index/meta layer for the split style system.</w:t>
      </w:r>
    </w:p>
    <w:p w14:paraId="62DFC18C" w14:textId="77777777" w:rsidR="000D0B6B" w:rsidRDefault="00000000">
      <w:pPr>
        <w:spacing w:after="120"/>
      </w:pPr>
      <w:r>
        <w:t>This document is the index for the Ward6 style system. It lists every document, its scope and owner, the rate at which it changes, and how AI skills consume it. Read this first if you’re new to the system or trying to work out which document a question belongs in.</w:t>
      </w:r>
    </w:p>
    <w:p w14:paraId="3D110A20" w14:textId="77777777" w:rsidR="000D0B6B" w:rsidRDefault="00000000">
      <w:pPr>
        <w:spacing w:after="120"/>
      </w:pPr>
      <w:r>
        <w:t>The system supports per-team overrides. Where multiple teams within the group have different conventions, the table below shows which documents are most likely to fork.</w:t>
      </w:r>
    </w:p>
    <w:p w14:paraId="51BE478A" w14:textId="77777777" w:rsidR="000D0B6B" w:rsidRDefault="000D0B6B">
      <w:pPr>
        <w:pBdr>
          <w:bottom w:val="single" w:sz="6" w:space="1" w:color="999999"/>
        </w:pBdr>
        <w:spacing w:after="240"/>
      </w:pPr>
    </w:p>
    <w:p w14:paraId="0BCB51C7" w14:textId="77777777" w:rsidR="000D0B6B" w:rsidRDefault="00000000">
      <w:pPr>
        <w:pStyle w:val="Heading1"/>
      </w:pPr>
      <w:r>
        <w:t>Document register</w:t>
      </w:r>
    </w:p>
    <w:p w14:paraId="120CEE34" w14:textId="77777777" w:rsidR="000D0B6B" w:rsidRDefault="00000000">
      <w:pPr>
        <w:spacing w:after="120"/>
      </w:pPr>
      <w:r>
        <w:t>The six Ward6 style documents: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800"/>
        <w:gridCol w:w="1900"/>
        <w:gridCol w:w="1100"/>
        <w:gridCol w:w="1160"/>
      </w:tblGrid>
      <w:tr w:rsidR="000D0B6B" w14:paraId="3CBE0410" w14:textId="77777777">
        <w:tblPrEx>
          <w:tblCellMar>
            <w:top w:w="0" w:type="dxa"/>
            <w:bottom w:w="0" w:type="dxa"/>
          </w:tblCellMar>
        </w:tblPrEx>
        <w:trPr>
          <w:tblHeader/>
        </w:trPr>
        <w:tc>
          <w:tcPr>
            <w:tcW w:w="2400" w:type="dxa"/>
            <w:tcBorders>
              <w:top w:val="single" w:sz="4" w:space="0" w:color="BBBBBB"/>
              <w:left w:val="single" w:sz="4" w:space="0" w:color="BBBBBB"/>
              <w:bottom w:val="single" w:sz="4" w:space="0" w:color="BBBBBB"/>
              <w:right w:val="single" w:sz="4" w:space="0" w:color="BBBBBB"/>
            </w:tcBorders>
            <w:shd w:val="clear" w:color="auto" w:fill="E5E7EB"/>
            <w:tcMar>
              <w:top w:w="80" w:type="dxa"/>
              <w:left w:w="120" w:type="dxa"/>
              <w:bottom w:w="80" w:type="dxa"/>
              <w:right w:w="120" w:type="dxa"/>
            </w:tcMar>
          </w:tcPr>
          <w:p w14:paraId="151AE921" w14:textId="77777777" w:rsidR="000D0B6B" w:rsidRDefault="00000000">
            <w:r>
              <w:rPr>
                <w:b/>
                <w:bCs/>
                <w:sz w:val="18"/>
                <w:szCs w:val="18"/>
              </w:rPr>
              <w:t>Document</w:t>
            </w:r>
          </w:p>
        </w:tc>
        <w:tc>
          <w:tcPr>
            <w:tcW w:w="2800" w:type="dxa"/>
            <w:tcBorders>
              <w:top w:val="single" w:sz="4" w:space="0" w:color="BBBBBB"/>
              <w:left w:val="single" w:sz="4" w:space="0" w:color="BBBBBB"/>
              <w:bottom w:val="single" w:sz="4" w:space="0" w:color="BBBBBB"/>
              <w:right w:val="single" w:sz="4" w:space="0" w:color="BBBBBB"/>
            </w:tcBorders>
            <w:shd w:val="clear" w:color="auto" w:fill="E5E7EB"/>
            <w:tcMar>
              <w:top w:w="80" w:type="dxa"/>
              <w:left w:w="120" w:type="dxa"/>
              <w:bottom w:w="80" w:type="dxa"/>
              <w:right w:w="120" w:type="dxa"/>
            </w:tcMar>
          </w:tcPr>
          <w:p w14:paraId="446E5F38" w14:textId="77777777" w:rsidR="000D0B6B" w:rsidRDefault="00000000">
            <w:r>
              <w:rPr>
                <w:b/>
                <w:bCs/>
                <w:sz w:val="18"/>
                <w:szCs w:val="18"/>
              </w:rPr>
              <w:t>Scope</w:t>
            </w:r>
          </w:p>
        </w:tc>
        <w:tc>
          <w:tcPr>
            <w:tcW w:w="1900" w:type="dxa"/>
            <w:tcBorders>
              <w:top w:val="single" w:sz="4" w:space="0" w:color="BBBBBB"/>
              <w:left w:val="single" w:sz="4" w:space="0" w:color="BBBBBB"/>
              <w:bottom w:val="single" w:sz="4" w:space="0" w:color="BBBBBB"/>
              <w:right w:val="single" w:sz="4" w:space="0" w:color="BBBBBB"/>
            </w:tcBorders>
            <w:shd w:val="clear" w:color="auto" w:fill="E5E7EB"/>
            <w:tcMar>
              <w:top w:w="80" w:type="dxa"/>
              <w:left w:w="120" w:type="dxa"/>
              <w:bottom w:w="80" w:type="dxa"/>
              <w:right w:w="120" w:type="dxa"/>
            </w:tcMar>
          </w:tcPr>
          <w:p w14:paraId="5947C514" w14:textId="77777777" w:rsidR="000D0B6B" w:rsidRDefault="00000000">
            <w:r>
              <w:rPr>
                <w:b/>
                <w:bCs/>
                <w:sz w:val="18"/>
                <w:szCs w:val="18"/>
              </w:rPr>
              <w:t>Likely owner</w:t>
            </w:r>
          </w:p>
        </w:tc>
        <w:tc>
          <w:tcPr>
            <w:tcW w:w="1100" w:type="dxa"/>
            <w:tcBorders>
              <w:top w:val="single" w:sz="4" w:space="0" w:color="BBBBBB"/>
              <w:left w:val="single" w:sz="4" w:space="0" w:color="BBBBBB"/>
              <w:bottom w:val="single" w:sz="4" w:space="0" w:color="BBBBBB"/>
              <w:right w:val="single" w:sz="4" w:space="0" w:color="BBBBBB"/>
            </w:tcBorders>
            <w:shd w:val="clear" w:color="auto" w:fill="E5E7EB"/>
            <w:tcMar>
              <w:top w:w="80" w:type="dxa"/>
              <w:left w:w="120" w:type="dxa"/>
              <w:bottom w:w="80" w:type="dxa"/>
              <w:right w:w="120" w:type="dxa"/>
            </w:tcMar>
          </w:tcPr>
          <w:p w14:paraId="31607306" w14:textId="77777777" w:rsidR="000D0B6B" w:rsidRDefault="00000000">
            <w:r>
              <w:rPr>
                <w:b/>
                <w:bCs/>
                <w:sz w:val="18"/>
                <w:szCs w:val="18"/>
              </w:rPr>
              <w:t>Decay</w:t>
            </w:r>
          </w:p>
        </w:tc>
        <w:tc>
          <w:tcPr>
            <w:tcW w:w="1160" w:type="dxa"/>
            <w:tcBorders>
              <w:top w:val="single" w:sz="4" w:space="0" w:color="BBBBBB"/>
              <w:left w:val="single" w:sz="4" w:space="0" w:color="BBBBBB"/>
              <w:bottom w:val="single" w:sz="4" w:space="0" w:color="BBBBBB"/>
              <w:right w:val="single" w:sz="4" w:space="0" w:color="BBBBBB"/>
            </w:tcBorders>
            <w:shd w:val="clear" w:color="auto" w:fill="E5E7EB"/>
            <w:tcMar>
              <w:top w:w="80" w:type="dxa"/>
              <w:left w:w="120" w:type="dxa"/>
              <w:bottom w:w="80" w:type="dxa"/>
              <w:right w:w="120" w:type="dxa"/>
            </w:tcMar>
          </w:tcPr>
          <w:p w14:paraId="5C297017" w14:textId="77777777" w:rsidR="000D0B6B" w:rsidRDefault="00000000">
            <w:r>
              <w:rPr>
                <w:b/>
                <w:bCs/>
                <w:sz w:val="18"/>
                <w:szCs w:val="18"/>
              </w:rPr>
              <w:t>Per-team forking?</w:t>
            </w:r>
          </w:p>
        </w:tc>
      </w:tr>
      <w:tr w:rsidR="000D0B6B" w14:paraId="50C63059"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0AEAE41" w14:textId="77777777" w:rsidR="000D0B6B" w:rsidRDefault="00000000">
            <w:r>
              <w:rPr>
                <w:sz w:val="18"/>
                <w:szCs w:val="18"/>
              </w:rPr>
              <w:t>Ward6 House Style</w:t>
            </w:r>
          </w:p>
        </w:tc>
        <w:tc>
          <w:tcPr>
            <w:tcW w:w="28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85FE8A7" w14:textId="77777777" w:rsidR="000D0B6B" w:rsidRDefault="00000000">
            <w:r>
              <w:rPr>
                <w:sz w:val="18"/>
                <w:szCs w:val="18"/>
              </w:rPr>
              <w:t>Mechanics — spelling, punctuation, numbers, formatting, science conventions, banned phrases, inclusive language</w:t>
            </w:r>
          </w:p>
        </w:tc>
        <w:tc>
          <w:tcPr>
            <w:tcW w:w="19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26D1DDF" w14:textId="77777777" w:rsidR="000D0B6B" w:rsidRDefault="00000000">
            <w:r>
              <w:rPr>
                <w:sz w:val="18"/>
                <w:szCs w:val="18"/>
              </w:rPr>
              <w:t>Senior writer / editor</w:t>
            </w:r>
          </w:p>
        </w:tc>
        <w:tc>
          <w:tcPr>
            <w:tcW w:w="11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F1FA744" w14:textId="77777777" w:rsidR="000D0B6B" w:rsidRDefault="00000000">
            <w:r>
              <w:rPr>
                <w:sz w:val="18"/>
                <w:szCs w:val="18"/>
              </w:rPr>
              <w:t>Low</w:t>
            </w:r>
          </w:p>
        </w:tc>
        <w:tc>
          <w:tcPr>
            <w:tcW w:w="116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C609878" w14:textId="77777777" w:rsidR="000D0B6B" w:rsidRDefault="00000000">
            <w:r>
              <w:rPr>
                <w:sz w:val="18"/>
                <w:szCs w:val="18"/>
              </w:rPr>
              <w:t>Possible</w:t>
            </w:r>
          </w:p>
        </w:tc>
      </w:tr>
      <w:tr w:rsidR="000D0B6B" w14:paraId="3CEB92F8"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E39B0CE" w14:textId="77777777" w:rsidR="000D0B6B" w:rsidRDefault="00000000">
            <w:r>
              <w:rPr>
                <w:i/>
                <w:sz w:val="18"/>
                <w:szCs w:val="18"/>
              </w:rPr>
              <w:t>Ward6 Voice &amp; Tone</w:t>
            </w:r>
          </w:p>
        </w:tc>
        <w:tc>
          <w:tcPr>
            <w:tcW w:w="28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640ACF2" w14:textId="77777777" w:rsidR="000D0B6B" w:rsidRDefault="00000000">
            <w:r>
              <w:rPr>
                <w:i/>
                <w:sz w:val="18"/>
                <w:szCs w:val="18"/>
              </w:rPr>
              <w:t>Voice descriptors, sentence-level guidance, tone sliders, exemplars</w:t>
            </w:r>
          </w:p>
        </w:tc>
        <w:tc>
          <w:tcPr>
            <w:tcW w:w="19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A379F26" w14:textId="77777777" w:rsidR="000D0B6B" w:rsidRDefault="00000000">
            <w:r>
              <w:rPr>
                <w:i/>
                <w:sz w:val="18"/>
                <w:szCs w:val="18"/>
              </w:rPr>
              <w:t>Creative director / strategy</w:t>
            </w:r>
          </w:p>
        </w:tc>
        <w:tc>
          <w:tcPr>
            <w:tcW w:w="11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2E1497A" w14:textId="77777777" w:rsidR="000D0B6B" w:rsidRDefault="00000000">
            <w:r>
              <w:rPr>
                <w:i/>
                <w:sz w:val="18"/>
                <w:szCs w:val="18"/>
              </w:rPr>
              <w:t>Medium</w:t>
            </w:r>
          </w:p>
        </w:tc>
        <w:tc>
          <w:tcPr>
            <w:tcW w:w="116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7CC8A8A" w14:textId="77777777" w:rsidR="000D0B6B" w:rsidRDefault="00000000">
            <w:r>
              <w:rPr>
                <w:i/>
                <w:sz w:val="18"/>
                <w:szCs w:val="18"/>
              </w:rPr>
              <w:t>Likely</w:t>
            </w:r>
          </w:p>
        </w:tc>
      </w:tr>
      <w:tr w:rsidR="000D0B6B" w14:paraId="2EB173C7"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C6C9670" w14:textId="77777777" w:rsidR="000D0B6B" w:rsidRDefault="00000000">
            <w:r>
              <w:rPr>
                <w:sz w:val="18"/>
                <w:szCs w:val="18"/>
              </w:rPr>
              <w:t>Ward6 References Style</w:t>
            </w:r>
          </w:p>
        </w:tc>
        <w:tc>
          <w:tcPr>
            <w:tcW w:w="28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1CD42E17" w14:textId="77777777" w:rsidR="000D0B6B" w:rsidRDefault="00000000">
            <w:r>
              <w:rPr>
                <w:sz w:val="18"/>
                <w:szCs w:val="18"/>
              </w:rPr>
              <w:t>Citation/reference formatting (Endnote and manual)</w:t>
            </w:r>
          </w:p>
        </w:tc>
        <w:tc>
          <w:tcPr>
            <w:tcW w:w="19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12F8F54F" w14:textId="77777777" w:rsidR="000D0B6B" w:rsidRDefault="00000000">
            <w:r>
              <w:rPr>
                <w:sz w:val="18"/>
                <w:szCs w:val="18"/>
              </w:rPr>
              <w:t>Senior writer / editor</w:t>
            </w:r>
          </w:p>
        </w:tc>
        <w:tc>
          <w:tcPr>
            <w:tcW w:w="11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3E7A014" w14:textId="77777777" w:rsidR="000D0B6B" w:rsidRDefault="00000000">
            <w:r>
              <w:rPr>
                <w:sz w:val="18"/>
                <w:szCs w:val="18"/>
              </w:rPr>
              <w:t>Low</w:t>
            </w:r>
          </w:p>
        </w:tc>
        <w:tc>
          <w:tcPr>
            <w:tcW w:w="116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17F50AF1" w14:textId="77777777" w:rsidR="000D0B6B" w:rsidRDefault="00000000">
            <w:r>
              <w:rPr>
                <w:sz w:val="18"/>
                <w:szCs w:val="18"/>
              </w:rPr>
              <w:t>Unlikely</w:t>
            </w:r>
          </w:p>
        </w:tc>
      </w:tr>
      <w:tr w:rsidR="000D0B6B" w14:paraId="0E0F757A"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8B363EB" w14:textId="77777777" w:rsidR="000D0B6B" w:rsidRDefault="00000000">
            <w:r>
              <w:rPr>
                <w:i/>
                <w:sz w:val="18"/>
                <w:szCs w:val="18"/>
              </w:rPr>
              <w:t>Ward6 Compliance &amp; Regulatory Framing</w:t>
            </w:r>
          </w:p>
        </w:tc>
        <w:tc>
          <w:tcPr>
            <w:tcW w:w="28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50D2B47" w14:textId="77777777" w:rsidR="000D0B6B" w:rsidRDefault="00000000">
            <w:r>
              <w:rPr>
                <w:i/>
                <w:sz w:val="18"/>
                <w:szCs w:val="18"/>
              </w:rPr>
              <w:t xml:space="preserve">Fair balance, comparator claims, </w:t>
            </w:r>
            <w:proofErr w:type="gramStart"/>
            <w:r>
              <w:rPr>
                <w:i/>
                <w:sz w:val="18"/>
                <w:szCs w:val="18"/>
              </w:rPr>
              <w:t>off-label</w:t>
            </w:r>
            <w:proofErr w:type="gramEnd"/>
            <w:r>
              <w:rPr>
                <w:i/>
                <w:sz w:val="18"/>
                <w:szCs w:val="18"/>
              </w:rPr>
              <w:t>, claim substantiation, Medicines Australia Code</w:t>
            </w:r>
          </w:p>
        </w:tc>
        <w:tc>
          <w:tcPr>
            <w:tcW w:w="19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54214C4" w14:textId="77777777" w:rsidR="000D0B6B" w:rsidRDefault="00000000">
            <w:r>
              <w:rPr>
                <w:i/>
                <w:sz w:val="18"/>
                <w:szCs w:val="18"/>
              </w:rPr>
              <w:t>Medical/legal / regulatory lead</w:t>
            </w:r>
          </w:p>
        </w:tc>
        <w:tc>
          <w:tcPr>
            <w:tcW w:w="11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323721A" w14:textId="77777777" w:rsidR="000D0B6B" w:rsidRDefault="00000000">
            <w:r>
              <w:rPr>
                <w:i/>
                <w:sz w:val="18"/>
                <w:szCs w:val="18"/>
              </w:rPr>
              <w:t>Medium</w:t>
            </w:r>
          </w:p>
        </w:tc>
        <w:tc>
          <w:tcPr>
            <w:tcW w:w="116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1DD338D" w14:textId="77777777" w:rsidR="000D0B6B" w:rsidRDefault="00000000">
            <w:r>
              <w:rPr>
                <w:i/>
                <w:sz w:val="18"/>
                <w:szCs w:val="18"/>
              </w:rPr>
              <w:t>Likely (per client)</w:t>
            </w:r>
          </w:p>
        </w:tc>
      </w:tr>
      <w:tr w:rsidR="000D0B6B" w14:paraId="7026B54B"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21A8737" w14:textId="77777777" w:rsidR="000D0B6B" w:rsidRDefault="00000000">
            <w:r>
              <w:rPr>
                <w:i/>
                <w:sz w:val="18"/>
                <w:szCs w:val="18"/>
              </w:rPr>
              <w:t>Ward6 Digital Writing</w:t>
            </w:r>
          </w:p>
        </w:tc>
        <w:tc>
          <w:tcPr>
            <w:tcW w:w="28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EC1FDCE" w14:textId="77777777" w:rsidR="000D0B6B" w:rsidRDefault="00000000">
            <w:r>
              <w:rPr>
                <w:i/>
                <w:sz w:val="18"/>
                <w:szCs w:val="18"/>
              </w:rPr>
              <w:t>Headlines, CTAs, accessibility, character limits, mobile, search</w:t>
            </w:r>
          </w:p>
        </w:tc>
        <w:tc>
          <w:tcPr>
            <w:tcW w:w="19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332A3DB" w14:textId="77777777" w:rsidR="000D0B6B" w:rsidRDefault="00000000">
            <w:r>
              <w:rPr>
                <w:i/>
                <w:sz w:val="18"/>
                <w:szCs w:val="18"/>
              </w:rPr>
              <w:t>Digital lead / UX writer</w:t>
            </w:r>
          </w:p>
        </w:tc>
        <w:tc>
          <w:tcPr>
            <w:tcW w:w="11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8C4AEC6" w14:textId="77777777" w:rsidR="000D0B6B" w:rsidRDefault="00000000">
            <w:r>
              <w:rPr>
                <w:i/>
                <w:sz w:val="18"/>
                <w:szCs w:val="18"/>
              </w:rPr>
              <w:t>Medium-high</w:t>
            </w:r>
          </w:p>
        </w:tc>
        <w:tc>
          <w:tcPr>
            <w:tcW w:w="116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C71ADD6" w14:textId="77777777" w:rsidR="000D0B6B" w:rsidRDefault="00000000">
            <w:r>
              <w:rPr>
                <w:i/>
                <w:sz w:val="18"/>
                <w:szCs w:val="18"/>
              </w:rPr>
              <w:t>Possible</w:t>
            </w:r>
          </w:p>
        </w:tc>
      </w:tr>
      <w:tr w:rsidR="000D0B6B" w14:paraId="68352B49"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1805F430" w14:textId="77777777" w:rsidR="000D0B6B" w:rsidRDefault="00000000">
            <w:r>
              <w:rPr>
                <w:sz w:val="18"/>
                <w:szCs w:val="18"/>
              </w:rPr>
              <w:t>Ward6 Production Workflow</w:t>
            </w:r>
          </w:p>
        </w:tc>
        <w:tc>
          <w:tcPr>
            <w:tcW w:w="28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775852B" w14:textId="77777777" w:rsidR="000D0B6B" w:rsidRDefault="00000000">
            <w:r>
              <w:rPr>
                <w:sz w:val="18"/>
                <w:szCs w:val="18"/>
              </w:rPr>
              <w:t>File paths, EndNote setup, template, version control</w:t>
            </w:r>
          </w:p>
        </w:tc>
        <w:tc>
          <w:tcPr>
            <w:tcW w:w="19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2829126" w14:textId="77777777" w:rsidR="000D0B6B" w:rsidRDefault="00000000">
            <w:r>
              <w:rPr>
                <w:sz w:val="18"/>
                <w:szCs w:val="18"/>
              </w:rPr>
              <w:t>Studio / account service</w:t>
            </w:r>
          </w:p>
        </w:tc>
        <w:tc>
          <w:tcPr>
            <w:tcW w:w="11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6072011" w14:textId="77777777" w:rsidR="000D0B6B" w:rsidRDefault="00000000">
            <w:r>
              <w:rPr>
                <w:sz w:val="18"/>
                <w:szCs w:val="18"/>
              </w:rPr>
              <w:t>Low</w:t>
            </w:r>
          </w:p>
        </w:tc>
        <w:tc>
          <w:tcPr>
            <w:tcW w:w="116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A660E08" w14:textId="77777777" w:rsidR="000D0B6B" w:rsidRDefault="00000000">
            <w:r>
              <w:rPr>
                <w:sz w:val="18"/>
                <w:szCs w:val="18"/>
              </w:rPr>
              <w:t>Per agency</w:t>
            </w:r>
          </w:p>
        </w:tc>
      </w:tr>
    </w:tbl>
    <w:p>
      <w:pPr/>
      <w:r>
        <w:rPr>
          <w:i/>
        </w:rPr>
        <w:t>Italicised rows (Voice &amp; Tone, Digital Writing, and Compliance &amp; Regulatory Framing) are proposed documents: starter content created for team review, not yet adopted from the original house style.</w:t>
      </w:r>
    </w:p>
    <w:p w14:paraId="5ACA7C50" w14:textId="77777777" w:rsidR="000D0B6B" w:rsidRDefault="00000000">
      <w:pPr>
        <w:spacing w:after="120"/>
      </w:pPr>
      <w:r>
        <w:rPr>
          <w:highlight w:val="yellow"/>
        </w:rPr>
        <w:t>Team to confirm owners. Names and roles to be filled in once the team has agreed who maintains what.</w:t>
      </w:r>
    </w:p>
    <w:p>
      <w:pPr/>
      <w:r>
        <w:t>Note: audience segmentation is handled at the brand level, via brand-specific Audiences documents (for example, Maviret Audiences), rather than as a ward-level style document.</w:t>
      </w:r>
    </w:p>
    <w:p w14:paraId="250FFF60" w14:textId="77777777" w:rsidR="000D0B6B" w:rsidRDefault="00000000">
      <w:r>
        <w:br w:type="page"/>
      </w:r>
    </w:p>
    <w:p w14:paraId="71C4D871" w14:textId="77777777" w:rsidR="000D0B6B" w:rsidRDefault="00000000">
      <w:pPr>
        <w:pStyle w:val="Heading1"/>
      </w:pPr>
      <w:r>
        <w:lastRenderedPageBreak/>
        <w:t>Per-team overrides</w:t>
      </w:r>
    </w:p>
    <w:p w14:paraId="27B06DB3" w14:textId="77777777" w:rsidR="000D0B6B" w:rsidRDefault="00000000">
      <w:pPr>
        <w:spacing w:after="120"/>
      </w:pPr>
      <w:r>
        <w:rPr>
          <w:highlight w:val="yellow"/>
        </w:rPr>
        <w:t>The system is designed to support per-team divergence on the documents most likely to fork. Suggested model:</w:t>
      </w:r>
    </w:p>
    <w:p w14:paraId="366D2F3D" w14:textId="77777777" w:rsidR="000D0B6B" w:rsidRDefault="00000000">
      <w:pPr>
        <w:pStyle w:val="ListParagraph"/>
        <w:numPr>
          <w:ilvl w:val="0"/>
          <w:numId w:val="2"/>
        </w:numPr>
        <w:spacing w:after="60"/>
      </w:pPr>
      <w:r>
        <w:rPr>
          <w:highlight w:val="yellow"/>
        </w:rPr>
        <w:t>A shared “group core” version of each document captures what every team agrees on.</w:t>
      </w:r>
    </w:p>
    <w:p w14:paraId="15BA0E61" w14:textId="77777777" w:rsidR="000D0B6B" w:rsidRDefault="00000000">
      <w:pPr>
        <w:pStyle w:val="ListParagraph"/>
        <w:numPr>
          <w:ilvl w:val="0"/>
          <w:numId w:val="2"/>
        </w:numPr>
        <w:spacing w:after="60"/>
      </w:pPr>
      <w:r>
        <w:rPr>
          <w:highlight w:val="yellow"/>
        </w:rPr>
        <w:t>A per-team override document sits alongside, capturing only the rules that differ.</w:t>
      </w:r>
    </w:p>
    <w:p w14:paraId="1DC66333" w14:textId="77777777" w:rsidR="000D0B6B" w:rsidRDefault="00000000">
      <w:pPr>
        <w:pStyle w:val="ListParagraph"/>
        <w:numPr>
          <w:ilvl w:val="0"/>
          <w:numId w:val="2"/>
        </w:numPr>
        <w:spacing w:after="60"/>
      </w:pPr>
      <w:r>
        <w:rPr>
          <w:highlight w:val="yellow"/>
        </w:rPr>
        <w:t>When a writer (or AI skill) loads a document, it loads core + override (override wins on conflicts).</w:t>
      </w:r>
    </w:p>
    <w:p w14:paraId="5ED86BB3" w14:textId="77777777" w:rsidR="000D0B6B" w:rsidRDefault="00000000">
      <w:pPr>
        <w:pStyle w:val="ListParagraph"/>
        <w:numPr>
          <w:ilvl w:val="0"/>
          <w:numId w:val="2"/>
        </w:numPr>
        <w:spacing w:after="60"/>
      </w:pPr>
      <w:r>
        <w:rPr>
          <w:highlight w:val="yellow"/>
        </w:rPr>
        <w:t>Documents marked “Unlikely” to fork (References Style, sometimes House Style) are maintained as a single shared file.</w:t>
      </w:r>
    </w:p>
    <w:p w14:paraId="2FA89981" w14:textId="77777777" w:rsidR="000D0B6B" w:rsidRDefault="00000000">
      <w:pPr>
        <w:spacing w:after="120"/>
      </w:pPr>
      <w:r>
        <w:rPr>
          <w:highlight w:val="yellow"/>
        </w:rPr>
        <w:t>Team to confirm: which teams within the group will hold their own override? Are the divergences large enough to need separate Voice docs, or just per-brand sections inside the shared docs?</w:t>
      </w:r>
    </w:p>
    <w:p w14:paraId="7215BDC8" w14:textId="77777777" w:rsidR="000D0B6B" w:rsidRDefault="00000000">
      <w:pPr>
        <w:pStyle w:val="Heading1"/>
      </w:pPr>
      <w:r>
        <w:t>Skill-application matrix</w:t>
      </w:r>
    </w:p>
    <w:p w14:paraId="471E8C47" w14:textId="77777777" w:rsidR="000D0B6B" w:rsidRDefault="00000000">
      <w:pPr>
        <w:spacing w:after="120"/>
      </w:pPr>
      <w:r>
        <w:rPr>
          <w:highlight w:val="yellow"/>
        </w:rPr>
        <w:t>For AI/skill use, this matrix shows which documents apply to which deliverable types. ✓ = applies; ~ = applies with adaptation; — = generally not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160"/>
        <w:gridCol w:w="1160"/>
        <w:gridCol w:w="1160"/>
        <w:gridCol w:w="1160"/>
        <w:gridCol w:w="1160"/>
        <w:gridCol w:w="1160"/>
      </w:tblGrid>
      <w:tr w:rsidR="000D0B6B" w14:paraId="4CE956EF" w14:textId="77777777">
        <w:tblPrEx>
          <w:tblCellMar>
            <w:top w:w="0" w:type="dxa"/>
            <w:bottom w:w="0" w:type="dxa"/>
          </w:tblCellMar>
        </w:tblPrEx>
        <w:trPr>
          <w:tblHeader/>
        </w:trPr>
        <w:tc>
          <w:tcPr>
            <w:tcW w:w="2400" w:type="dxa"/>
            <w:tcBorders>
              <w:top w:val="single" w:sz="4" w:space="0" w:color="BBBBBB"/>
              <w:left w:val="single" w:sz="4" w:space="0" w:color="BBBBBB"/>
              <w:bottom w:val="single" w:sz="4" w:space="0" w:color="BBBBBB"/>
              <w:right w:val="single" w:sz="4" w:space="0" w:color="BBBBBB"/>
            </w:tcBorders>
            <w:shd w:val="clear" w:color="auto" w:fill="FFE082"/>
            <w:tcMar>
              <w:top w:w="60" w:type="dxa"/>
              <w:left w:w="100" w:type="dxa"/>
              <w:bottom w:w="60" w:type="dxa"/>
              <w:right w:w="100" w:type="dxa"/>
            </w:tcMar>
          </w:tcPr>
          <w:p w14:paraId="79F86BE9" w14:textId="77777777" w:rsidR="000D0B6B" w:rsidRDefault="00000000">
            <w:pPr>
              <w:jc w:val="center"/>
            </w:pPr>
            <w:r>
              <w:rPr>
                <w:b/>
                <w:bCs/>
                <w:sz w:val="16"/>
                <w:szCs w:val="16"/>
                <w:highlight w:val="yellow"/>
              </w:rPr>
              <w:t>Document</w:t>
            </w:r>
          </w:p>
        </w:tc>
        <w:tc>
          <w:tcPr>
            <w:tcW w:w="1160" w:type="dxa"/>
            <w:tcBorders>
              <w:top w:val="single" w:sz="4" w:space="0" w:color="BBBBBB"/>
              <w:left w:val="single" w:sz="4" w:space="0" w:color="BBBBBB"/>
              <w:bottom w:val="single" w:sz="4" w:space="0" w:color="BBBBBB"/>
              <w:right w:val="single" w:sz="4" w:space="0" w:color="BBBBBB"/>
            </w:tcBorders>
            <w:shd w:val="clear" w:color="auto" w:fill="FFE082"/>
            <w:tcMar>
              <w:top w:w="60" w:type="dxa"/>
              <w:left w:w="100" w:type="dxa"/>
              <w:bottom w:w="60" w:type="dxa"/>
              <w:right w:w="100" w:type="dxa"/>
            </w:tcMar>
          </w:tcPr>
          <w:p w14:paraId="4A50CDF8" w14:textId="77777777" w:rsidR="000D0B6B" w:rsidRDefault="00000000">
            <w:pPr>
              <w:jc w:val="center"/>
            </w:pPr>
            <w:r>
              <w:rPr>
                <w:b/>
                <w:bCs/>
                <w:sz w:val="16"/>
                <w:szCs w:val="16"/>
                <w:highlight w:val="yellow"/>
              </w:rPr>
              <w:t>Newsletter (HCP)</w:t>
            </w:r>
          </w:p>
        </w:tc>
        <w:tc>
          <w:tcPr>
            <w:tcW w:w="1160" w:type="dxa"/>
            <w:tcBorders>
              <w:top w:val="single" w:sz="4" w:space="0" w:color="BBBBBB"/>
              <w:left w:val="single" w:sz="4" w:space="0" w:color="BBBBBB"/>
              <w:bottom w:val="single" w:sz="4" w:space="0" w:color="BBBBBB"/>
              <w:right w:val="single" w:sz="4" w:space="0" w:color="BBBBBB"/>
            </w:tcBorders>
            <w:shd w:val="clear" w:color="auto" w:fill="FFE082"/>
            <w:tcMar>
              <w:top w:w="60" w:type="dxa"/>
              <w:left w:w="100" w:type="dxa"/>
              <w:bottom w:w="60" w:type="dxa"/>
              <w:right w:w="100" w:type="dxa"/>
            </w:tcMar>
          </w:tcPr>
          <w:p w14:paraId="18FA7465" w14:textId="77777777" w:rsidR="000D0B6B" w:rsidRDefault="00000000">
            <w:pPr>
              <w:jc w:val="center"/>
            </w:pPr>
            <w:r>
              <w:rPr>
                <w:b/>
                <w:bCs/>
                <w:sz w:val="16"/>
                <w:szCs w:val="16"/>
                <w:highlight w:val="yellow"/>
              </w:rPr>
              <w:t>eDA / sales aid</w:t>
            </w:r>
          </w:p>
        </w:tc>
        <w:tc>
          <w:tcPr>
            <w:tcW w:w="1160" w:type="dxa"/>
            <w:tcBorders>
              <w:top w:val="single" w:sz="4" w:space="0" w:color="BBBBBB"/>
              <w:left w:val="single" w:sz="4" w:space="0" w:color="BBBBBB"/>
              <w:bottom w:val="single" w:sz="4" w:space="0" w:color="BBBBBB"/>
              <w:right w:val="single" w:sz="4" w:space="0" w:color="BBBBBB"/>
            </w:tcBorders>
            <w:shd w:val="clear" w:color="auto" w:fill="FFE082"/>
            <w:tcMar>
              <w:top w:w="60" w:type="dxa"/>
              <w:left w:w="100" w:type="dxa"/>
              <w:bottom w:w="60" w:type="dxa"/>
              <w:right w:w="100" w:type="dxa"/>
            </w:tcMar>
          </w:tcPr>
          <w:p w14:paraId="5B4FFD3D" w14:textId="77777777" w:rsidR="000D0B6B" w:rsidRDefault="00000000">
            <w:pPr>
              <w:jc w:val="center"/>
            </w:pPr>
            <w:r>
              <w:rPr>
                <w:b/>
                <w:bCs/>
                <w:sz w:val="16"/>
                <w:szCs w:val="16"/>
                <w:highlight w:val="yellow"/>
              </w:rPr>
              <w:t>Patient-facing</w:t>
            </w:r>
          </w:p>
        </w:tc>
        <w:tc>
          <w:tcPr>
            <w:tcW w:w="1160" w:type="dxa"/>
            <w:tcBorders>
              <w:top w:val="single" w:sz="4" w:space="0" w:color="BBBBBB"/>
              <w:left w:val="single" w:sz="4" w:space="0" w:color="BBBBBB"/>
              <w:bottom w:val="single" w:sz="4" w:space="0" w:color="BBBBBB"/>
              <w:right w:val="single" w:sz="4" w:space="0" w:color="BBBBBB"/>
            </w:tcBorders>
            <w:shd w:val="clear" w:color="auto" w:fill="FFE082"/>
            <w:tcMar>
              <w:top w:w="60" w:type="dxa"/>
              <w:left w:w="100" w:type="dxa"/>
              <w:bottom w:w="60" w:type="dxa"/>
              <w:right w:w="100" w:type="dxa"/>
            </w:tcMar>
          </w:tcPr>
          <w:p w14:paraId="26B2EFFE" w14:textId="77777777" w:rsidR="000D0B6B" w:rsidRDefault="00000000">
            <w:pPr>
              <w:jc w:val="center"/>
            </w:pPr>
            <w:r>
              <w:rPr>
                <w:b/>
                <w:bCs/>
                <w:sz w:val="16"/>
                <w:szCs w:val="16"/>
                <w:highlight w:val="yellow"/>
              </w:rPr>
              <w:t>Poster / abstract</w:t>
            </w:r>
          </w:p>
        </w:tc>
        <w:tc>
          <w:tcPr>
            <w:tcW w:w="1160" w:type="dxa"/>
            <w:tcBorders>
              <w:top w:val="single" w:sz="4" w:space="0" w:color="BBBBBB"/>
              <w:left w:val="single" w:sz="4" w:space="0" w:color="BBBBBB"/>
              <w:bottom w:val="single" w:sz="4" w:space="0" w:color="BBBBBB"/>
              <w:right w:val="single" w:sz="4" w:space="0" w:color="BBBBBB"/>
            </w:tcBorders>
            <w:shd w:val="clear" w:color="auto" w:fill="FFE082"/>
            <w:tcMar>
              <w:top w:w="60" w:type="dxa"/>
              <w:left w:w="100" w:type="dxa"/>
              <w:bottom w:w="60" w:type="dxa"/>
              <w:right w:w="100" w:type="dxa"/>
            </w:tcMar>
          </w:tcPr>
          <w:p w14:paraId="39ADAD27" w14:textId="77777777" w:rsidR="000D0B6B" w:rsidRDefault="00000000">
            <w:pPr>
              <w:jc w:val="center"/>
            </w:pPr>
            <w:r>
              <w:rPr>
                <w:b/>
                <w:bCs/>
                <w:sz w:val="16"/>
                <w:szCs w:val="16"/>
                <w:highlight w:val="yellow"/>
              </w:rPr>
              <w:t>Social / digital</w:t>
            </w:r>
          </w:p>
        </w:tc>
        <w:tc>
          <w:tcPr>
            <w:tcW w:w="1160" w:type="dxa"/>
            <w:tcBorders>
              <w:top w:val="single" w:sz="4" w:space="0" w:color="BBBBBB"/>
              <w:left w:val="single" w:sz="4" w:space="0" w:color="BBBBBB"/>
              <w:bottom w:val="single" w:sz="4" w:space="0" w:color="BBBBBB"/>
              <w:right w:val="single" w:sz="4" w:space="0" w:color="BBBBBB"/>
            </w:tcBorders>
            <w:shd w:val="clear" w:color="auto" w:fill="FFE082"/>
            <w:tcMar>
              <w:top w:w="60" w:type="dxa"/>
              <w:left w:w="100" w:type="dxa"/>
              <w:bottom w:w="60" w:type="dxa"/>
              <w:right w:w="100" w:type="dxa"/>
            </w:tcMar>
          </w:tcPr>
          <w:p w14:paraId="56D88EC1" w14:textId="77777777" w:rsidR="000D0B6B" w:rsidRDefault="00000000">
            <w:pPr>
              <w:jc w:val="center"/>
            </w:pPr>
            <w:r>
              <w:rPr>
                <w:b/>
                <w:bCs/>
                <w:sz w:val="16"/>
                <w:szCs w:val="16"/>
                <w:highlight w:val="yellow"/>
              </w:rPr>
              <w:t>Internal</w:t>
            </w:r>
          </w:p>
        </w:tc>
      </w:tr>
      <w:tr w:rsidR="000D0B6B" w14:paraId="44309E2F"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EB8D9FB" w14:textId="77777777" w:rsidR="000D0B6B" w:rsidRDefault="00000000">
            <w:r>
              <w:rPr>
                <w:sz w:val="16"/>
                <w:szCs w:val="16"/>
                <w:highlight w:val="yellow"/>
              </w:rPr>
              <w:t>House Style — spelling, punctuation, numbers</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48F2CC8"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3B5A9C9"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B3F2F2D"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201C329"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8A8F8CD"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55DA286" w14:textId="77777777" w:rsidR="000D0B6B" w:rsidRDefault="00000000">
            <w:pPr>
              <w:jc w:val="center"/>
            </w:pPr>
            <w:r>
              <w:rPr>
                <w:sz w:val="16"/>
                <w:szCs w:val="16"/>
                <w:highlight w:val="yellow"/>
              </w:rPr>
              <w:t>✓</w:t>
            </w:r>
          </w:p>
        </w:tc>
      </w:tr>
      <w:tr w:rsidR="000D0B6B" w14:paraId="448FE8BB"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831510F" w14:textId="77777777" w:rsidR="000D0B6B" w:rsidRDefault="00000000">
            <w:r>
              <w:rPr>
                <w:sz w:val="16"/>
                <w:szCs w:val="16"/>
                <w:highlight w:val="yellow"/>
              </w:rPr>
              <w:t>House Style — patient-first / inclusive</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6FF7A13"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1FB0BA4"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6FA32CD"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77B9A00"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BCFACF7"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92B7E0F" w14:textId="77777777" w:rsidR="000D0B6B" w:rsidRDefault="00000000">
            <w:pPr>
              <w:jc w:val="center"/>
            </w:pPr>
            <w:r>
              <w:rPr>
                <w:sz w:val="16"/>
                <w:szCs w:val="16"/>
                <w:highlight w:val="yellow"/>
              </w:rPr>
              <w:t>—</w:t>
            </w:r>
          </w:p>
        </w:tc>
      </w:tr>
      <w:tr w:rsidR="000D0B6B" w14:paraId="055FBC7E"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FE01B42" w14:textId="77777777" w:rsidR="000D0B6B" w:rsidRDefault="00000000">
            <w:r>
              <w:rPr>
                <w:sz w:val="16"/>
                <w:szCs w:val="16"/>
                <w:highlight w:val="yellow"/>
              </w:rPr>
              <w:t>House Style — banned phrases</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3829E33"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4FBE198"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E0A609B"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F28F2BA"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0F489EF"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05C70C9" w14:textId="77777777" w:rsidR="000D0B6B" w:rsidRDefault="00000000">
            <w:pPr>
              <w:jc w:val="center"/>
            </w:pPr>
            <w:r>
              <w:rPr>
                <w:sz w:val="16"/>
                <w:szCs w:val="16"/>
                <w:highlight w:val="yellow"/>
              </w:rPr>
              <w:t>✓</w:t>
            </w:r>
          </w:p>
        </w:tc>
      </w:tr>
      <w:tr w:rsidR="000D0B6B" w14:paraId="4D3CC5D0"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4CEEFB6" w14:textId="77777777" w:rsidR="000D0B6B" w:rsidRDefault="00000000">
            <w:r>
              <w:rPr>
                <w:sz w:val="16"/>
                <w:szCs w:val="16"/>
                <w:highlight w:val="yellow"/>
              </w:rPr>
              <w:t>House Style — clinical statistics format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1CEECF6"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A657D07"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27A18FB"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11D522A"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CE5EE32"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BEFE54E" w14:textId="77777777" w:rsidR="000D0B6B" w:rsidRDefault="00000000">
            <w:pPr>
              <w:jc w:val="center"/>
            </w:pPr>
            <w:r>
              <w:rPr>
                <w:sz w:val="16"/>
                <w:szCs w:val="16"/>
                <w:highlight w:val="yellow"/>
              </w:rPr>
              <w:t>—</w:t>
            </w:r>
          </w:p>
        </w:tc>
      </w:tr>
      <w:tr w:rsidR="000D0B6B" w14:paraId="1EB29E2E"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F7DACA8" w14:textId="77777777" w:rsidR="000D0B6B" w:rsidRDefault="00000000">
            <w:r>
              <w:rPr>
                <w:sz w:val="16"/>
                <w:szCs w:val="16"/>
                <w:highlight w:val="yellow"/>
              </w:rPr>
              <w:t>House Style — preferred terms / glossary</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35578AF"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1038847"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F8FAFD4"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6596661"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EB9811C"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D9B0243" w14:textId="77777777" w:rsidR="000D0B6B" w:rsidRDefault="00000000">
            <w:pPr>
              <w:jc w:val="center"/>
            </w:pPr>
            <w:r>
              <w:rPr>
                <w:sz w:val="16"/>
                <w:szCs w:val="16"/>
                <w:highlight w:val="yellow"/>
              </w:rPr>
              <w:t>✓</w:t>
            </w:r>
          </w:p>
        </w:tc>
      </w:tr>
      <w:tr w:rsidR="000D0B6B" w14:paraId="40460BCA"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56B1C62" w14:textId="77777777" w:rsidR="000D0B6B" w:rsidRDefault="00000000">
            <w:r>
              <w:rPr>
                <w:sz w:val="16"/>
                <w:szCs w:val="16"/>
                <w:highlight w:val="yellow"/>
              </w:rPr>
              <w:t>Voice &amp; Tone — voice descriptors</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92CB4F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3284281"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A8BF441"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6262D98"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1AFF1B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5D9D179" w14:textId="77777777" w:rsidR="000D0B6B" w:rsidRDefault="00000000">
            <w:pPr>
              <w:jc w:val="center"/>
            </w:pPr>
            <w:r>
              <w:rPr>
                <w:sz w:val="16"/>
                <w:szCs w:val="16"/>
                <w:highlight w:val="yellow"/>
              </w:rPr>
              <w:t>~</w:t>
            </w:r>
          </w:p>
        </w:tc>
      </w:tr>
      <w:tr w:rsidR="000D0B6B" w14:paraId="5917EA32"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A3F0F62" w14:textId="77777777" w:rsidR="000D0B6B" w:rsidRDefault="00000000">
            <w:r>
              <w:rPr>
                <w:sz w:val="16"/>
                <w:szCs w:val="16"/>
                <w:highlight w:val="yellow"/>
              </w:rPr>
              <w:t>Voice &amp; Tone — HCP register</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03E1BFC"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9C47647"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0FA5290"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E3E572C"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8A30C60"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21E8D1A" w14:textId="77777777" w:rsidR="000D0B6B" w:rsidRDefault="00000000">
            <w:pPr>
              <w:jc w:val="center"/>
            </w:pPr>
            <w:r>
              <w:rPr>
                <w:sz w:val="16"/>
                <w:szCs w:val="16"/>
                <w:highlight w:val="yellow"/>
              </w:rPr>
              <w:t>—</w:t>
            </w:r>
          </w:p>
        </w:tc>
      </w:tr>
      <w:tr w:rsidR="000D0B6B" w14:paraId="7710108B"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5807282" w14:textId="77777777" w:rsidR="000D0B6B" w:rsidRDefault="00000000">
            <w:r>
              <w:rPr>
                <w:sz w:val="16"/>
                <w:szCs w:val="16"/>
                <w:highlight w:val="yellow"/>
              </w:rPr>
              <w:t>Voice &amp; Tone — patient/consumer register</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BB59FBF"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1BE36E7"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94D37ED"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2674A41"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F985A36"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2C97EBE" w14:textId="77777777" w:rsidR="000D0B6B" w:rsidRDefault="00000000">
            <w:pPr>
              <w:jc w:val="center"/>
            </w:pPr>
            <w:r>
              <w:rPr>
                <w:sz w:val="16"/>
                <w:szCs w:val="16"/>
                <w:highlight w:val="yellow"/>
              </w:rPr>
              <w:t>—</w:t>
            </w:r>
          </w:p>
        </w:tc>
      </w:tr>
      <w:tr w:rsidR="000D0B6B" w14:paraId="16F62913"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ABEB4BE" w14:textId="77777777" w:rsidR="000D0B6B" w:rsidRDefault="00000000">
            <w:r>
              <w:rPr>
                <w:sz w:val="16"/>
                <w:szCs w:val="16"/>
                <w:highlight w:val="yellow"/>
              </w:rPr>
              <w:t>References Style — full citation format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1289299"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C8CCC8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0901650"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2B4D3C8"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E2D5588"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C370CE2" w14:textId="77777777" w:rsidR="000D0B6B" w:rsidRDefault="00000000">
            <w:pPr>
              <w:jc w:val="center"/>
            </w:pPr>
            <w:r>
              <w:rPr>
                <w:sz w:val="16"/>
                <w:szCs w:val="16"/>
                <w:highlight w:val="yellow"/>
              </w:rPr>
              <w:t>—</w:t>
            </w:r>
          </w:p>
        </w:tc>
      </w:tr>
      <w:tr w:rsidR="000D0B6B" w14:paraId="3ECE76E7"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C9271D3" w14:textId="77777777" w:rsidR="000D0B6B" w:rsidRDefault="00000000">
            <w:r>
              <w:rPr>
                <w:sz w:val="16"/>
                <w:szCs w:val="16"/>
                <w:highlight w:val="yellow"/>
              </w:rPr>
              <w:t>Compliance — fair balance</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925A723"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489AA61"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05A1BB6"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BE5F21A"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F85B93F"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8206BA5" w14:textId="77777777" w:rsidR="000D0B6B" w:rsidRDefault="00000000">
            <w:pPr>
              <w:jc w:val="center"/>
            </w:pPr>
            <w:r>
              <w:rPr>
                <w:sz w:val="16"/>
                <w:szCs w:val="16"/>
                <w:highlight w:val="yellow"/>
              </w:rPr>
              <w:t>—</w:t>
            </w:r>
          </w:p>
        </w:tc>
      </w:tr>
      <w:tr w:rsidR="000D0B6B" w14:paraId="7A371328"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1B44D38" w14:textId="77777777" w:rsidR="000D0B6B" w:rsidRDefault="00000000">
            <w:r>
              <w:rPr>
                <w:sz w:val="16"/>
                <w:szCs w:val="16"/>
                <w:highlight w:val="yellow"/>
              </w:rPr>
              <w:t>Compliance — claim substantiation</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D0313E4"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A1EF4AA"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09CC146"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8AF7803"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E9C0645"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2A97695" w14:textId="77777777" w:rsidR="000D0B6B" w:rsidRDefault="00000000">
            <w:pPr>
              <w:jc w:val="center"/>
            </w:pPr>
            <w:r>
              <w:rPr>
                <w:sz w:val="16"/>
                <w:szCs w:val="16"/>
                <w:highlight w:val="yellow"/>
              </w:rPr>
              <w:t>—</w:t>
            </w:r>
          </w:p>
        </w:tc>
      </w:tr>
      <w:tr w:rsidR="000D0B6B" w14:paraId="141D0831"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DE6EE5A" w14:textId="77777777" w:rsidR="000D0B6B" w:rsidRDefault="00000000">
            <w:r>
              <w:rPr>
                <w:sz w:val="16"/>
                <w:szCs w:val="16"/>
                <w:highlight w:val="yellow"/>
              </w:rPr>
              <w:t>Compliance — PBS/TGA wording</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F52C019"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4A04AE8"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4669F97"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00540B1"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48FA229"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54CF343" w14:textId="77777777" w:rsidR="000D0B6B" w:rsidRDefault="00000000">
            <w:pPr>
              <w:jc w:val="center"/>
            </w:pPr>
            <w:r>
              <w:rPr>
                <w:sz w:val="16"/>
                <w:szCs w:val="16"/>
                <w:highlight w:val="yellow"/>
              </w:rPr>
              <w:t>—</w:t>
            </w:r>
          </w:p>
        </w:tc>
      </w:tr>
      <w:tr w:rsidR="000D0B6B" w14:paraId="429EF2A9"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8CFF1C7" w14:textId="77777777" w:rsidR="000D0B6B" w:rsidRDefault="00000000">
            <w:r>
              <w:rPr>
                <w:sz w:val="16"/>
                <w:szCs w:val="16"/>
                <w:highlight w:val="yellow"/>
              </w:rPr>
              <w:t>Digital Writing — headlines / CTAs</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C7B3F0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F2EB4CF"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DDB2FE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CCAA948"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5CD17A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081256F7" w14:textId="77777777" w:rsidR="000D0B6B" w:rsidRDefault="00000000">
            <w:pPr>
              <w:jc w:val="center"/>
            </w:pPr>
            <w:r>
              <w:rPr>
                <w:sz w:val="16"/>
                <w:szCs w:val="16"/>
                <w:highlight w:val="yellow"/>
              </w:rPr>
              <w:t>—</w:t>
            </w:r>
          </w:p>
        </w:tc>
      </w:tr>
      <w:tr w:rsidR="000D0B6B" w14:paraId="644A7DD5"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6D00852" w14:textId="77777777" w:rsidR="000D0B6B" w:rsidRDefault="00000000">
            <w:r>
              <w:rPr>
                <w:sz w:val="16"/>
                <w:szCs w:val="16"/>
                <w:highlight w:val="yellow"/>
              </w:rPr>
              <w:t>Digital Writing — accessibility</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5DC2434"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965C6BD"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086376C"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8090054"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C5E650B"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6C571842" w14:textId="77777777" w:rsidR="000D0B6B" w:rsidRDefault="00000000">
            <w:pPr>
              <w:jc w:val="center"/>
            </w:pPr>
            <w:r>
              <w:rPr>
                <w:sz w:val="16"/>
                <w:szCs w:val="16"/>
                <w:highlight w:val="yellow"/>
              </w:rPr>
              <w:t>—</w:t>
            </w:r>
          </w:p>
        </w:tc>
      </w:tr>
      <w:tr w:rsidR="000D0B6B" w14:paraId="360AAB20"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18CA36C3" w14:textId="77777777" w:rsidR="000D0B6B" w:rsidRDefault="00000000">
            <w:r>
              <w:rPr>
                <w:sz w:val="16"/>
                <w:szCs w:val="16"/>
                <w:highlight w:val="yellow"/>
              </w:rPr>
              <w:t>Digital Writing — character limits</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0A39D46"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FD55661"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65F99C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C9C7A7B"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A13AA42"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4F777D31" w14:textId="77777777" w:rsidR="000D0B6B" w:rsidRDefault="00000000">
            <w:pPr>
              <w:jc w:val="center"/>
            </w:pPr>
            <w:r>
              <w:rPr>
                <w:sz w:val="16"/>
                <w:szCs w:val="16"/>
                <w:highlight w:val="yellow"/>
              </w:rPr>
              <w:t>—</w:t>
            </w:r>
          </w:p>
        </w:tc>
      </w:tr>
      <w:tr w:rsidR="000D0B6B" w14:paraId="6C09E116" w14:textId="77777777">
        <w:tblPrEx>
          <w:tblCellMar>
            <w:top w:w="0" w:type="dxa"/>
            <w:bottom w:w="0" w:type="dxa"/>
          </w:tblCellMar>
        </w:tblPrEx>
        <w:tc>
          <w:tcPr>
            <w:tcW w:w="240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253BACC" w14:textId="77777777" w:rsidR="000D0B6B" w:rsidRDefault="00000000">
            <w:r>
              <w:rPr>
                <w:sz w:val="16"/>
                <w:szCs w:val="16"/>
                <w:highlight w:val="yellow"/>
              </w:rPr>
              <w:t>Production Workflow — filename / version</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71320B95"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7F34D6A"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3BED9FC5"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6170E40"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5D8A843E" w14:textId="77777777" w:rsidR="000D0B6B" w:rsidRDefault="00000000">
            <w:pPr>
              <w:jc w:val="center"/>
            </w:pPr>
            <w:r>
              <w:rPr>
                <w:sz w:val="16"/>
                <w:szCs w:val="16"/>
                <w:highlight w:val="yellow"/>
              </w:rPr>
              <w:t>~</w:t>
            </w:r>
          </w:p>
        </w:tc>
        <w:tc>
          <w:tcPr>
            <w:tcW w:w="1160" w:type="dxa"/>
            <w:tcBorders>
              <w:top w:val="single" w:sz="4" w:space="0" w:color="BBBBBB"/>
              <w:left w:val="single" w:sz="4" w:space="0" w:color="BBBBBB"/>
              <w:bottom w:val="single" w:sz="4" w:space="0" w:color="BBBBBB"/>
              <w:right w:val="single" w:sz="4" w:space="0" w:color="BBBBBB"/>
            </w:tcBorders>
            <w:shd w:val="clear" w:color="auto" w:fill="FFF59D"/>
            <w:tcMar>
              <w:top w:w="60" w:type="dxa"/>
              <w:left w:w="100" w:type="dxa"/>
              <w:bottom w:w="60" w:type="dxa"/>
              <w:right w:w="100" w:type="dxa"/>
            </w:tcMar>
          </w:tcPr>
          <w:p w14:paraId="260013F2" w14:textId="77777777" w:rsidR="000D0B6B" w:rsidRDefault="00000000">
            <w:pPr>
              <w:jc w:val="center"/>
            </w:pPr>
            <w:r>
              <w:rPr>
                <w:sz w:val="16"/>
                <w:szCs w:val="16"/>
                <w:highlight w:val="yellow"/>
              </w:rPr>
              <w:t>✓</w:t>
            </w:r>
          </w:p>
        </w:tc>
      </w:tr>
    </w:tbl>
    <w:p w14:paraId="520CEF58" w14:textId="77777777" w:rsidR="000D0B6B" w:rsidRDefault="00000000">
      <w:pPr>
        <w:spacing w:after="120"/>
      </w:pPr>
      <w:r>
        <w:rPr>
          <w:highlight w:val="yellow"/>
        </w:rPr>
        <w:lastRenderedPageBreak/>
        <w:t>Team to confirm column set (are there deliverable types missing — e.g. media release, KOL deck, conference app, training video script?), confirm/adjust the cells, and add document rows the team thinks should be tracked.</w:t>
      </w:r>
    </w:p>
    <w:p w14:paraId="5546E174" w14:textId="77777777" w:rsidR="000D0B6B" w:rsidRDefault="00000000">
      <w:r>
        <w:br w:type="page"/>
      </w:r>
    </w:p>
    <w:p w14:paraId="1B43FADB" w14:textId="77777777" w:rsidR="000D0B6B" w:rsidRDefault="00000000">
      <w:pPr>
        <w:pStyle w:val="Heading1"/>
      </w:pPr>
      <w:r>
        <w:lastRenderedPageBreak/>
        <w:t>How AI skills consume these documents</w:t>
      </w:r>
    </w:p>
    <w:p w14:paraId="19FB63A0" w14:textId="77777777" w:rsidR="000D0B6B" w:rsidRDefault="00000000">
      <w:pPr>
        <w:spacing w:after="120"/>
      </w:pPr>
      <w:r>
        <w:rPr>
          <w:highlight w:val="yellow"/>
        </w:rPr>
        <w:t>Skills are workflow + selective references. Each skill is short — orientation, must-do/must-not-do, examples — and pulls in only the references it needs.</w:t>
      </w:r>
    </w:p>
    <w:p w14:paraId="5C29B037" w14:textId="77777777" w:rsidR="000D0B6B" w:rsidRDefault="00000000">
      <w:pPr>
        <w:pStyle w:val="Heading2"/>
      </w:pPr>
      <w:r>
        <w:rPr>
          <w:highlight w:val="yellow"/>
        </w:rPr>
        <w:t>Suggested skill set</w:t>
      </w:r>
    </w:p>
    <w:p w14:paraId="465A0592" w14:textId="77777777" w:rsidR="000D0B6B" w:rsidRDefault="00000000">
      <w:pPr>
        <w:pStyle w:val="ListParagraph"/>
        <w:numPr>
          <w:ilvl w:val="0"/>
          <w:numId w:val="2"/>
        </w:numPr>
        <w:spacing w:after="60"/>
      </w:pPr>
      <w:r>
        <w:rPr>
          <w:highlight w:val="yellow"/>
        </w:rPr>
        <w:t>Copywriting (general) → Voice &amp; Tone + House Style (top sections).</w:t>
      </w:r>
    </w:p>
    <w:p w14:paraId="069498D8" w14:textId="44E13BAA" w:rsidR="000D0B6B" w:rsidRDefault="00000000">
      <w:pPr>
        <w:pStyle w:val="ListParagraph"/>
        <w:numPr>
          <w:ilvl w:val="0"/>
          <w:numId w:val="2"/>
        </w:numPr>
        <w:spacing w:after="60"/>
      </w:pPr>
      <w:r>
        <w:rPr>
          <w:highlight w:val="yellow"/>
        </w:rPr>
        <w:t>Scientific update/newsletter → House Style + References Style + Voice &amp; Tone (HCP filter) + Compliance.</w:t>
      </w:r>
      <w:r w:rsidR="00422215">
        <w:rPr>
          <w:highlight w:val="yellow"/>
        </w:rPr>
      </w:r>
      <w:r>
        <w:rPr>
          <w:highlight w:val="yellow"/>
        </w:rPr>
      </w:r>
    </w:p>
    <w:p w14:paraId="0DB8520A" w14:textId="77777777" w:rsidR="000D0B6B" w:rsidRDefault="00000000">
      <w:pPr>
        <w:pStyle w:val="ListParagraph"/>
        <w:numPr>
          <w:ilvl w:val="0"/>
          <w:numId w:val="2"/>
        </w:numPr>
        <w:spacing w:after="60"/>
      </w:pPr>
      <w:r>
        <w:rPr>
          <w:highlight w:val="yellow"/>
        </w:rPr>
        <w:t>eDA / sales aid → House Style + Voice &amp; Tone (HCP filter) + Compliance.</w:t>
      </w:r>
    </w:p>
    <w:p w14:paraId="73300C9E" w14:textId="77777777" w:rsidR="000D0B6B" w:rsidRDefault="00000000">
      <w:pPr>
        <w:pStyle w:val="ListParagraph"/>
        <w:numPr>
          <w:ilvl w:val="0"/>
          <w:numId w:val="2"/>
        </w:numPr>
        <w:spacing w:after="60"/>
      </w:pPr>
      <w:r>
        <w:rPr>
          <w:highlight w:val="yellow"/>
        </w:rPr>
        <w:t>Patient communication → Voice &amp; Tone (consumer filter) + House Style (selective) + Compliance.</w:t>
      </w:r>
    </w:p>
    <w:p w14:paraId="1560F214" w14:textId="0B71D1A1" w:rsidR="000D0B6B" w:rsidRDefault="00000000">
      <w:pPr>
        <w:pStyle w:val="ListParagraph"/>
        <w:numPr>
          <w:ilvl w:val="0"/>
          <w:numId w:val="2"/>
        </w:numPr>
        <w:spacing w:after="60"/>
      </w:pPr>
      <w:r>
        <w:rPr>
          <w:highlight w:val="yellow"/>
        </w:rPr>
        <w:t>Social/digital → Voice &amp; Tone + House Style (banned phrases, numbers) + Digital Writing.</w:t>
      </w:r>
      <w:r w:rsidR="00422215">
        <w:rPr>
          <w:highlight w:val="yellow"/>
        </w:rPr>
      </w:r>
      <w:r>
        <w:rPr>
          <w:highlight w:val="yellow"/>
        </w:rPr>
      </w:r>
    </w:p>
    <w:p w14:paraId="4333934D" w14:textId="5F8C0C8D" w:rsidR="000D0B6B" w:rsidRDefault="00000000">
      <w:pPr>
        <w:pStyle w:val="ListParagraph"/>
        <w:numPr>
          <w:ilvl w:val="0"/>
          <w:numId w:val="2"/>
        </w:numPr>
        <w:spacing w:after="60"/>
      </w:pPr>
      <w:r>
        <w:rPr>
          <w:highlight w:val="yellow"/>
        </w:rPr>
        <w:t>Internal</w:t>
      </w:r>
      <w:r w:rsidR="00422215">
        <w:rPr>
          <w:highlight w:val="yellow"/>
        </w:rPr>
        <w:t>/</w:t>
      </w:r>
      <w:r>
        <w:rPr>
          <w:highlight w:val="yellow"/>
        </w:rPr>
        <w:t>brief writing → House Style (lite) + Voice &amp; Tone (internal register).</w:t>
      </w:r>
    </w:p>
    <w:p w14:paraId="2CA6C6FE" w14:textId="77777777" w:rsidR="000D0B6B" w:rsidRDefault="00000000">
      <w:pPr>
        <w:pStyle w:val="ListParagraph"/>
        <w:numPr>
          <w:ilvl w:val="0"/>
          <w:numId w:val="2"/>
        </w:numPr>
        <w:spacing w:after="60"/>
      </w:pPr>
      <w:r>
        <w:rPr>
          <w:highlight w:val="yellow"/>
        </w:rPr>
        <w:t>Reviewer / QA → all six documents.</w:t>
      </w:r>
    </w:p>
    <w:p w14:paraId="152CC5D5" w14:textId="77777777" w:rsidR="000D0B6B" w:rsidRDefault="00000000">
      <w:pPr>
        <w:pStyle w:val="ListParagraph"/>
        <w:numPr>
          <w:ilvl w:val="0"/>
          <w:numId w:val="2"/>
        </w:numPr>
        <w:spacing w:after="60"/>
      </w:pPr>
      <w:r>
        <w:rPr>
          <w:highlight w:val="yellow"/>
        </w:rPr>
        <w:t>Reference and citation formatter → References Style + House Style (in-text citation rules).</w:t>
      </w:r>
    </w:p>
    <w:p w14:paraId="71AE41C3" w14:textId="77777777" w:rsidR="000D0B6B" w:rsidRDefault="00000000">
      <w:pPr>
        <w:pStyle w:val="Heading2"/>
      </w:pPr>
      <w:r>
        <w:rPr>
          <w:highlight w:val="yellow"/>
        </w:rPr>
        <w:t>Team to confirm</w:t>
      </w:r>
    </w:p>
    <w:p w14:paraId="451DB752" w14:textId="77777777" w:rsidR="000D0B6B" w:rsidRDefault="00000000">
      <w:pPr>
        <w:pStyle w:val="ListParagraph"/>
        <w:numPr>
          <w:ilvl w:val="0"/>
          <w:numId w:val="2"/>
        </w:numPr>
        <w:spacing w:after="60"/>
      </w:pPr>
      <w:r>
        <w:rPr>
          <w:highlight w:val="yellow"/>
        </w:rPr>
        <w:t>Which skills should we build first?</w:t>
      </w:r>
    </w:p>
    <w:p w14:paraId="200EAAC5" w14:textId="77777777" w:rsidR="000D0B6B" w:rsidRDefault="00000000">
      <w:pPr>
        <w:pStyle w:val="ListParagraph"/>
        <w:numPr>
          <w:ilvl w:val="0"/>
          <w:numId w:val="2"/>
        </w:numPr>
        <w:spacing w:after="60"/>
      </w:pPr>
      <w:r>
        <w:rPr>
          <w:highlight w:val="yellow"/>
        </w:rPr>
        <w:t>Are there workflows the team would want a skill for that aren’t in the list above?</w:t>
      </w:r>
    </w:p>
    <w:p w14:paraId="6DBA0335" w14:textId="77777777" w:rsidR="000D0B6B" w:rsidRDefault="00000000">
      <w:pPr>
        <w:pStyle w:val="ListParagraph"/>
        <w:numPr>
          <w:ilvl w:val="0"/>
          <w:numId w:val="2"/>
        </w:numPr>
        <w:spacing w:after="60"/>
      </w:pPr>
      <w:r>
        <w:rPr>
          <w:highlight w:val="yellow"/>
        </w:rPr>
        <w:t xml:space="preserve">Where the matrix says a document is loaded, is the loading granular (sections) or </w:t>
      </w:r>
      <w:proofErr w:type="gramStart"/>
      <w:r>
        <w:rPr>
          <w:highlight w:val="yellow"/>
        </w:rPr>
        <w:t>whole-document</w:t>
      </w:r>
      <w:proofErr w:type="gramEnd"/>
      <w:r>
        <w:rPr>
          <w:highlight w:val="yellow"/>
        </w:rPr>
        <w:t>?</w:t>
      </w:r>
    </w:p>
    <w:p w14:paraId="1419F893" w14:textId="77777777" w:rsidR="000D0B6B" w:rsidRDefault="00000000">
      <w:pPr>
        <w:pStyle w:val="Heading1"/>
      </w:pPr>
      <w:r>
        <w:t>Update cadence</w:t>
      </w:r>
    </w:p>
    <w:p w14:paraId="4361DDAB" w14:textId="77777777" w:rsidR="000D0B6B" w:rsidRDefault="00000000">
      <w:pPr>
        <w:spacing w:after="120"/>
      </w:pPr>
      <w:r>
        <w:rPr>
          <w:highlight w:val="yellow"/>
        </w:rPr>
        <w:t>Suggested review cycle:</w:t>
      </w:r>
    </w:p>
    <w:p w14:paraId="1C81C0CA" w14:textId="77777777" w:rsidR="000D0B6B" w:rsidRDefault="00000000">
      <w:pPr>
        <w:pStyle w:val="ListParagraph"/>
        <w:numPr>
          <w:ilvl w:val="0"/>
          <w:numId w:val="2"/>
        </w:numPr>
        <w:spacing w:after="60"/>
      </w:pPr>
      <w:r>
        <w:rPr>
          <w:highlight w:val="yellow"/>
        </w:rPr>
        <w:t>Quarterly: Voice &amp; Tone, Digital Writing — these decay fastest.</w:t>
      </w:r>
    </w:p>
    <w:p w14:paraId="38CDCCCA" w14:textId="60B9E421" w:rsidR="000D0B6B" w:rsidRDefault="00000000">
      <w:pPr>
        <w:pStyle w:val="ListParagraph"/>
        <w:numPr>
          <w:ilvl w:val="0"/>
          <w:numId w:val="2"/>
        </w:numPr>
        <w:spacing w:after="60"/>
      </w:pPr>
      <w:r>
        <w:rPr>
          <w:highlight w:val="yellow"/>
        </w:rPr>
        <w:t xml:space="preserve">Six-monthly: Compliance &amp; Regulatory Framing (or whenever the Medicines Australia Code </w:t>
      </w:r>
      <w:r w:rsidR="00422215">
        <w:rPr>
          <w:highlight w:val="yellow"/>
        </w:rPr>
        <w:t>is revised</w:t>
      </w:r>
      <w:r>
        <w:rPr>
          <w:highlight w:val="yellow"/>
        </w:rPr>
        <w:t>).</w:t>
      </w:r>
    </w:p>
    <w:p w14:paraId="4A363F31" w14:textId="77777777" w:rsidR="000D0B6B" w:rsidRDefault="00000000">
      <w:pPr>
        <w:pStyle w:val="ListParagraph"/>
        <w:numPr>
          <w:ilvl w:val="0"/>
          <w:numId w:val="2"/>
        </w:numPr>
        <w:spacing w:after="60"/>
      </w:pPr>
      <w:r>
        <w:rPr>
          <w:highlight w:val="yellow"/>
        </w:rPr>
        <w:t>Annually: House Style, References Style, Production Workflow.</w:t>
      </w:r>
    </w:p>
    <w:p w14:paraId="1E232487" w14:textId="77777777" w:rsidR="000D0B6B" w:rsidRDefault="00000000">
      <w:pPr>
        <w:pStyle w:val="ListParagraph"/>
        <w:numPr>
          <w:ilvl w:val="0"/>
          <w:numId w:val="2"/>
        </w:numPr>
        <w:spacing w:after="60"/>
      </w:pPr>
      <w:r>
        <w:rPr>
          <w:highlight w:val="yellow"/>
        </w:rPr>
        <w:t>Always: any time a client brief introduces a convention the team wants to adopt across all work.</w:t>
      </w:r>
    </w:p>
    <w:p w14:paraId="453D0DD5" w14:textId="77777777" w:rsidR="000D0B6B" w:rsidRDefault="00000000">
      <w:pPr>
        <w:spacing w:after="120"/>
      </w:pPr>
      <w:r>
        <w:rPr>
          <w:highlight w:val="yellow"/>
        </w:rPr>
        <w:t>Team to confirm cadence and owners.</w:t>
      </w:r>
    </w:p>
    <w:sectPr w:rsidR="000D0B6B">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E110" w14:textId="77777777" w:rsidR="007264BD" w:rsidRDefault="007264BD">
      <w:r>
        <w:separator/>
      </w:r>
    </w:p>
  </w:endnote>
  <w:endnote w:type="continuationSeparator" w:id="0">
    <w:p w14:paraId="4B9A0D45" w14:textId="77777777" w:rsidR="007264BD" w:rsidRDefault="0072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2A58" w14:textId="77777777" w:rsidR="000D0B6B" w:rsidRDefault="00000000">
    <w:pPr>
      <w:jc w:val="center"/>
    </w:pPr>
    <w:r>
      <w:rPr>
        <w:color w:val="777777"/>
        <w:sz w:val="18"/>
        <w:szCs w:val="18"/>
      </w:rPr>
      <w:t xml:space="preserve">Page </w:t>
    </w:r>
    <w:r>
      <w:rPr>
        <w:color w:val="777777"/>
        <w:sz w:val="18"/>
        <w:szCs w:val="18"/>
      </w:rPr>
      <w:fldChar w:fldCharType="begin"/>
    </w:r>
    <w:r>
      <w:rPr>
        <w:color w:val="777777"/>
        <w:sz w:val="18"/>
        <w:szCs w:val="18"/>
      </w:rPr>
      <w:instrText>PAGE</w:instrText>
    </w:r>
    <w:r>
      <w:rPr>
        <w:color w:val="777777"/>
        <w:sz w:val="18"/>
        <w:szCs w:val="18"/>
      </w:rPr>
      <w:fldChar w:fldCharType="separate"/>
    </w:r>
    <w:r w:rsidR="00422215">
      <w:rPr>
        <w:noProof/>
        <w:color w:val="777777"/>
        <w:sz w:val="18"/>
        <w:szCs w:val="18"/>
      </w:rPr>
      <w:t>1</w:t>
    </w:r>
    <w:r>
      <w:rPr>
        <w:color w:val="777777"/>
        <w:sz w:val="18"/>
        <w:szCs w:val="18"/>
      </w:rPr>
      <w:fldChar w:fldCharType="end"/>
    </w:r>
    <w:r>
      <w:rPr>
        <w:color w:val="777777"/>
        <w:sz w:val="18"/>
        <w:szCs w:val="18"/>
      </w:rPr>
      <w:t xml:space="preserve"> of </w:t>
    </w:r>
    <w:r>
      <w:rPr>
        <w:color w:val="777777"/>
        <w:sz w:val="18"/>
        <w:szCs w:val="18"/>
      </w:rPr>
      <w:fldChar w:fldCharType="begin"/>
    </w:r>
    <w:r>
      <w:rPr>
        <w:color w:val="777777"/>
        <w:sz w:val="18"/>
        <w:szCs w:val="18"/>
      </w:rPr>
      <w:instrText>NUMPAGES</w:instrText>
    </w:r>
    <w:r>
      <w:rPr>
        <w:color w:val="777777"/>
        <w:sz w:val="18"/>
        <w:szCs w:val="18"/>
      </w:rPr>
      <w:fldChar w:fldCharType="separate"/>
    </w:r>
    <w:r w:rsidR="00422215">
      <w:rPr>
        <w:noProof/>
        <w:color w:val="777777"/>
        <w:sz w:val="18"/>
        <w:szCs w:val="18"/>
      </w:rPr>
      <w:t>2</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9EE0" w14:textId="77777777" w:rsidR="007264BD" w:rsidRDefault="007264BD">
      <w:r>
        <w:separator/>
      </w:r>
    </w:p>
  </w:footnote>
  <w:footnote w:type="continuationSeparator" w:id="0">
    <w:p w14:paraId="619736E4" w14:textId="77777777" w:rsidR="007264BD" w:rsidRDefault="00726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1250" w14:textId="77777777" w:rsidR="000D0B6B" w:rsidRDefault="00000000">
    <w:pPr>
      <w:jc w:val="right"/>
    </w:pPr>
    <w:r>
      <w:rPr>
        <w:color w:val="777777"/>
        <w:sz w:val="18"/>
        <w:szCs w:val="18"/>
      </w:rPr>
      <w:t>Ward</w:t>
    </w:r>
    <w:proofErr w:type="gramStart"/>
    <w:r>
      <w:rPr>
        <w:color w:val="777777"/>
        <w:sz w:val="18"/>
        <w:szCs w:val="18"/>
      </w:rPr>
      <w:t>6  |</w:t>
    </w:r>
    <w:proofErr w:type="gramEnd"/>
    <w:r>
      <w:rPr>
        <w:color w:val="777777"/>
        <w:sz w:val="18"/>
        <w:szCs w:val="18"/>
      </w:rPr>
      <w:t xml:space="preserve">  Style &amp;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01D8"/>
    <w:multiLevelType w:val="hybridMultilevel"/>
    <w:tmpl w:val="EEB09184"/>
    <w:lvl w:ilvl="0" w:tplc="EA14865A">
      <w:start w:val="1"/>
      <w:numFmt w:val="bullet"/>
      <w:lvlText w:val="•"/>
      <w:lvlJc w:val="left"/>
      <w:pPr>
        <w:ind w:left="720" w:hanging="360"/>
      </w:pPr>
    </w:lvl>
    <w:lvl w:ilvl="1" w:tplc="D278D176">
      <w:start w:val="1"/>
      <w:numFmt w:val="bullet"/>
      <w:lvlText w:val="◦"/>
      <w:lvlJc w:val="left"/>
      <w:pPr>
        <w:ind w:left="1440" w:hanging="360"/>
      </w:pPr>
    </w:lvl>
    <w:lvl w:ilvl="2" w:tplc="4154A3A0">
      <w:numFmt w:val="decimal"/>
      <w:lvlText w:val=""/>
      <w:lvlJc w:val="left"/>
    </w:lvl>
    <w:lvl w:ilvl="3" w:tplc="9E82759C">
      <w:numFmt w:val="decimal"/>
      <w:lvlText w:val=""/>
      <w:lvlJc w:val="left"/>
    </w:lvl>
    <w:lvl w:ilvl="4" w:tplc="58E83C1E">
      <w:numFmt w:val="decimal"/>
      <w:lvlText w:val=""/>
      <w:lvlJc w:val="left"/>
    </w:lvl>
    <w:lvl w:ilvl="5" w:tplc="AD94B318">
      <w:numFmt w:val="decimal"/>
      <w:lvlText w:val=""/>
      <w:lvlJc w:val="left"/>
    </w:lvl>
    <w:lvl w:ilvl="6" w:tplc="4310096A">
      <w:numFmt w:val="decimal"/>
      <w:lvlText w:val=""/>
      <w:lvlJc w:val="left"/>
    </w:lvl>
    <w:lvl w:ilvl="7" w:tplc="71E00786">
      <w:numFmt w:val="decimal"/>
      <w:lvlText w:val=""/>
      <w:lvlJc w:val="left"/>
    </w:lvl>
    <w:lvl w:ilvl="8" w:tplc="0DFCF18E">
      <w:numFmt w:val="decimal"/>
      <w:lvlText w:val=""/>
      <w:lvlJc w:val="left"/>
    </w:lvl>
  </w:abstractNum>
  <w:abstractNum w:abstractNumId="1" w15:restartNumberingAfterBreak="0">
    <w:nsid w:val="63573D41"/>
    <w:multiLevelType w:val="hybridMultilevel"/>
    <w:tmpl w:val="47E22E98"/>
    <w:lvl w:ilvl="0" w:tplc="072C6586">
      <w:start w:val="1"/>
      <w:numFmt w:val="bullet"/>
      <w:lvlText w:val="●"/>
      <w:lvlJc w:val="left"/>
      <w:pPr>
        <w:ind w:left="720" w:hanging="360"/>
      </w:pPr>
    </w:lvl>
    <w:lvl w:ilvl="1" w:tplc="3D02010E">
      <w:start w:val="1"/>
      <w:numFmt w:val="bullet"/>
      <w:lvlText w:val="○"/>
      <w:lvlJc w:val="left"/>
      <w:pPr>
        <w:ind w:left="1440" w:hanging="360"/>
      </w:pPr>
    </w:lvl>
    <w:lvl w:ilvl="2" w:tplc="E4A04DE6">
      <w:start w:val="1"/>
      <w:numFmt w:val="bullet"/>
      <w:lvlText w:val="■"/>
      <w:lvlJc w:val="left"/>
      <w:pPr>
        <w:ind w:left="2160" w:hanging="360"/>
      </w:pPr>
    </w:lvl>
    <w:lvl w:ilvl="3" w:tplc="CC46168A">
      <w:start w:val="1"/>
      <w:numFmt w:val="bullet"/>
      <w:lvlText w:val="●"/>
      <w:lvlJc w:val="left"/>
      <w:pPr>
        <w:ind w:left="2880" w:hanging="360"/>
      </w:pPr>
    </w:lvl>
    <w:lvl w:ilvl="4" w:tplc="E9C0008A">
      <w:start w:val="1"/>
      <w:numFmt w:val="bullet"/>
      <w:lvlText w:val="○"/>
      <w:lvlJc w:val="left"/>
      <w:pPr>
        <w:ind w:left="3600" w:hanging="360"/>
      </w:pPr>
    </w:lvl>
    <w:lvl w:ilvl="5" w:tplc="0EA41C88">
      <w:start w:val="1"/>
      <w:numFmt w:val="bullet"/>
      <w:lvlText w:val="■"/>
      <w:lvlJc w:val="left"/>
      <w:pPr>
        <w:ind w:left="4320" w:hanging="360"/>
      </w:pPr>
    </w:lvl>
    <w:lvl w:ilvl="6" w:tplc="0038B930">
      <w:start w:val="1"/>
      <w:numFmt w:val="bullet"/>
      <w:lvlText w:val="●"/>
      <w:lvlJc w:val="left"/>
      <w:pPr>
        <w:ind w:left="5040" w:hanging="360"/>
      </w:pPr>
    </w:lvl>
    <w:lvl w:ilvl="7" w:tplc="DDEC22E0">
      <w:start w:val="1"/>
      <w:numFmt w:val="bullet"/>
      <w:lvlText w:val="●"/>
      <w:lvlJc w:val="left"/>
      <w:pPr>
        <w:ind w:left="5760" w:hanging="360"/>
      </w:pPr>
    </w:lvl>
    <w:lvl w:ilvl="8" w:tplc="2EFABA12">
      <w:start w:val="1"/>
      <w:numFmt w:val="bullet"/>
      <w:lvlText w:val="●"/>
      <w:lvlJc w:val="left"/>
      <w:pPr>
        <w:ind w:left="6480" w:hanging="360"/>
      </w:pPr>
    </w:lvl>
  </w:abstractNum>
  <w:num w:numId="1" w16cid:durableId="1515261892">
    <w:abstractNumId w:val="1"/>
    <w:lvlOverride w:ilvl="0">
      <w:startOverride w:val="1"/>
    </w:lvlOverride>
  </w:num>
  <w:num w:numId="2" w16cid:durableId="1559592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6B"/>
    <w:rsid w:val="0002014F"/>
    <w:rsid w:val="000D0B6B"/>
    <w:rsid w:val="00422215"/>
    <w:rsid w:val="00726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19293EB"/>
  <w15:docId w15:val="{96BF148C-E2E6-394E-AFBE-8F4C1356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2937"/>
      <w:sz w:val="32"/>
      <w:szCs w:val="32"/>
    </w:rPr>
  </w:style>
  <w:style w:type="paragraph" w:styleId="Heading2">
    <w:name w:val="heading 2"/>
    <w:uiPriority w:val="9"/>
    <w:unhideWhenUsed/>
    <w:qFormat/>
    <w:pPr>
      <w:spacing w:before="280" w:after="120"/>
      <w:outlineLvl w:val="1"/>
    </w:pPr>
    <w:rPr>
      <w:b/>
      <w:bCs/>
      <w:color w:val="1F2937"/>
      <w:sz w:val="26"/>
      <w:szCs w:val="26"/>
    </w:rPr>
  </w:style>
  <w:style w:type="paragraph" w:styleId="Heading3">
    <w:name w:val="heading 3"/>
    <w:uiPriority w:val="9"/>
    <w:semiHidden/>
    <w:unhideWhenUsed/>
    <w:qFormat/>
    <w:pPr>
      <w:spacing w:before="200" w:after="80"/>
      <w:outlineLvl w:val="2"/>
    </w:pPr>
    <w:rPr>
      <w:b/>
      <w:bCs/>
      <w:color w:val="374151"/>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854</Words>
  <Characters>4522</Characters>
  <Application>Microsoft Office Word</Application>
  <DocSecurity>0</DocSecurity>
  <Lines>266</Lines>
  <Paragraphs>215</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Ward6 Style &amp; Process</dc:title>
  <dc:creator>Ward6</dc:creator>
  <cp:lastModifiedBy>Jason Armstrong</cp:lastModifiedBy>
  <cp:revision>2</cp:revision>
  <dcterms:created xsi:type="dcterms:W3CDTF">2026-05-05T06:15:00Z</dcterms:created>
  <dcterms:modified xsi:type="dcterms:W3CDTF">2026-05-05T06:24:00Z</dcterms:modified>
</cp:coreProperties>
</file>