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
        <w:jc w:val="left"/>
      </w:pPr>
      <w:r>
        <w:rPr>
          <w:b/>
          <w:bCs/>
          <w:sz w:val="44"/>
          <w:szCs w:val="44"/>
        </w:rPr>
        <w:t xml:space="preserve">Ward6 References Style</w:t>
      </w:r>
    </w:p>
    <w:p>
      <w:pPr>
        <w:spacing w:after="120"/>
      </w:pPr>
      <w:r>
        <w:rPr>
          <w:color w:val="555555"/>
          <w:sz w:val="28"/>
          <w:szCs w:val="28"/>
        </w:rPr>
        <w:t xml:space="preserve">Citation and reference formatting</w:t>
      </w:r>
    </w:p>
    <w:p>
      <w:pPr>
        <w:spacing w:after="240"/>
      </w:pPr>
      <w:r>
        <w:rPr>
          <w:i/>
          <w:iCs/>
          <w:color w:val="777777"/>
        </w:rPr>
        <w:t xml:space="preserve">Originally drafted June 2018 (The Other Health Group). Working version split from the combined Style &amp; Process Guide for review.</w:t>
      </w:r>
    </w:p>
    <w:p>
      <w:pPr>
        <w:spacing w:after="120"/>
      </w:pPr>
      <w:r>
        <w:t xml:space="preserve">This document covers the format and conventions for references, citations, qualifiers, and figures/tables. It is a companion to the Ward6 House Style Guide. For EndNote library setup, file paths, and reference-pack workflow, see the Ward6 Production Workflow document.</w:t>
      </w:r>
    </w:p>
    <w:p>
      <w:pPr>
        <w:pBdr>
          <w:bottom w:val="single" w:color="999999" w:sz="6" w:space="1"/>
        </w:pBdr>
        <w:spacing w:after="240"/>
      </w:pPr>
    </w:p>
    <w:p>
      <w:pPr>
        <w:pStyle w:val="Heading1"/>
        <w:spacing w:after="180" w:before="360"/>
      </w:pPr>
      <w:r>
        <w:t xml:space="preserve">Endnote</w:t>
      </w:r>
    </w:p>
    <w:p>
      <w:pPr>
        <w:spacing w:after="120"/>
      </w:pPr>
      <w:r>
        <w:t xml:space="preserve">In general, use Endnote for referencing in Word documents. (If less than 5 references, manual referencing is fine.)</w:t>
      </w:r>
    </w:p>
    <w:p>
      <w:pPr>
        <w:spacing w:after="120"/>
      </w:pPr>
      <w:r>
        <w:t xml:space="preserve">The Ward6 EndNote output style automatically formats journal references imported from PubMed to the following format, depending on number of authors:</w:t>
      </w:r>
    </w:p>
    <w:p>
      <w:pPr>
        <w:pStyle w:val="ListParagraph"/>
        <w:numPr>
          <w:ilvl w:val="0"/>
          <w:numId w:val="2"/>
        </w:numPr>
        <w:spacing w:after="60"/>
      </w:pPr>
      <w:r>
        <w:t xml:space="preserve">Saglio G. Ann Hematol 2017;96:1303–13.</w:t>
      </w:r>
    </w:p>
    <w:p>
      <w:pPr>
        <w:pStyle w:val="ListParagraph"/>
        <w:numPr>
          <w:ilvl w:val="0"/>
          <w:numId w:val="2"/>
        </w:numPr>
        <w:spacing w:after="60"/>
      </w:pPr>
      <w:r>
        <w:t xml:space="preserve">Cortes JE </w:t>
      </w:r>
      <w:r>
        <w:rPr>
          <w:i/>
          <w:iCs/>
        </w:rPr>
        <w:t xml:space="preserve">et al.</w:t>
      </w:r>
      <w:r>
        <w:t xml:space="preserve"> J Clin Oncol 2016;34:2333–40.</w:t>
      </w:r>
    </w:p>
    <w:p>
      <w:pPr>
        <w:pStyle w:val="ListParagraph"/>
        <w:numPr>
          <w:ilvl w:val="0"/>
          <w:numId w:val="2"/>
        </w:numPr>
        <w:spacing w:after="60"/>
      </w:pPr>
      <w:r>
        <w:t xml:space="preserve">Mahon FX, Etienne G. Clin Cancer Res 2014;20:310–22.</w:t>
      </w:r>
    </w:p>
    <w:p>
      <w:pPr>
        <w:spacing w:after="120"/>
      </w:pPr>
      <w:r>
        <w:rPr>
          <w:b/>
          <w:bCs/>
        </w:rPr>
        <w:t xml:space="preserve">NOTE: </w:t>
      </w:r>
      <w:r>
        <w:t xml:space="preserve">EndNote imports page ranges with a hyphen, not an en-dash. Manually update (edit) newly imported references to an en-dash.</w:t>
      </w:r>
    </w:p>
    <w:p>
      <w:pPr>
        <w:spacing w:after="120"/>
      </w:pPr>
      <w:r>
        <w:t xml:space="preserve">Any reference that is not a journal imported from PubMed into EndNote must be formatted manually. Add the reference as a ‘government document’ in the ‘title’ field, using the format it should appear in the copy document.</w:t>
      </w:r>
    </w:p>
    <w:p>
      <w:pPr>
        <w:pStyle w:val="Heading2"/>
        <w:spacing w:after="120" w:before="280"/>
      </w:pPr>
      <w:r>
        <w:t xml:space="preserve">Website</w:t>
      </w:r>
    </w:p>
    <w:p>
      <w:pPr>
        <w:spacing w:after="120"/>
      </w:pPr>
      <w:r>
        <w:t xml:space="preserve">Format: author/organisation. Name of page. URL [no http://]. Accessed [month] [year].</w:t>
      </w:r>
    </w:p>
    <w:p>
      <w:pPr>
        <w:pStyle w:val="ListParagraph"/>
        <w:numPr>
          <w:ilvl w:val="0"/>
          <w:numId w:val="2"/>
        </w:numPr>
        <w:spacing w:after="60"/>
      </w:pPr>
      <w:r>
        <w:t xml:space="preserve">National Asthma Council Australia. Australian Asthma Handbook. www.asthmahandbook.org.au. Accessed Jan 2018.</w:t>
      </w:r>
    </w:p>
    <w:p>
      <w:pPr>
        <w:pStyle w:val="Heading2"/>
        <w:spacing w:after="120" w:before="280"/>
      </w:pPr>
      <w:r>
        <w:t xml:space="preserve">Poster</w:t>
      </w:r>
    </w:p>
    <w:p>
      <w:pPr>
        <w:spacing w:after="120"/>
      </w:pPr>
      <w:r>
        <w:t xml:space="preserve">Format: author(s) [as per journal articles]. Title of poster. Name of conference year, City. Poster (ID number if available).</w:t>
      </w:r>
    </w:p>
    <w:p>
      <w:pPr>
        <w:pStyle w:val="ListParagraph"/>
        <w:numPr>
          <w:ilvl w:val="0"/>
          <w:numId w:val="2"/>
        </w:numPr>
        <w:spacing w:after="60"/>
      </w:pPr>
      <w:r>
        <w:t xml:space="preserve">Selmaj KW </w:t>
      </w:r>
      <w:r>
        <w:rPr>
          <w:i/>
          <w:iCs/>
        </w:rPr>
        <w:t xml:space="preserve">et al.</w:t>
      </w:r>
      <w:r>
        <w:t xml:space="preserve"> Efficacy and safety of alemtuzumab in patients with RRMS is durable over 10 years: Follow up from CAMMS223 study. AAN 2017, Boston. Poster.</w:t>
      </w:r>
    </w:p>
    <w:p>
      <w:pPr>
        <w:spacing w:after="120"/>
      </w:pPr>
      <w:r>
        <w:t xml:space="preserve">Capitalise only the first word of the name of any article, regardless of how it was published. The poster title may be omitted if insufficient space and an alternative identifier, such as a poster or abstract number, is cited, e.g.</w:t>
      </w:r>
    </w:p>
    <w:p>
      <w:pPr>
        <w:pStyle w:val="ListParagraph"/>
        <w:numPr>
          <w:ilvl w:val="0"/>
          <w:numId w:val="2"/>
        </w:numPr>
        <w:spacing w:after="60"/>
      </w:pPr>
      <w:r>
        <w:t xml:space="preserve">Singer BA </w:t>
      </w:r>
      <w:r>
        <w:rPr>
          <w:i/>
          <w:iCs/>
        </w:rPr>
        <w:t xml:space="preserve">et al.</w:t>
      </w:r>
      <w:r>
        <w:t xml:space="preserve"> ECTRIMS 2017, Paris. Poster P736.</w:t>
      </w:r>
    </w:p>
    <w:p>
      <w:pPr>
        <w:spacing w:after="120"/>
      </w:pPr>
      <w:r>
        <w:t xml:space="preserve">[Include the poster title in one of the other ‘government document’ EndNote fields for identification of poster; this will not appear in the reference citation.]</w:t>
      </w:r>
    </w:p>
    <w:p>
      <w:pPr>
        <w:pStyle w:val="Heading1"/>
        <w:spacing w:after="180" w:before="360"/>
      </w:pPr>
      <w:r>
        <w:t xml:space="preserve">Manual referencing</w:t>
      </w:r>
    </w:p>
    <w:p>
      <w:pPr>
        <w:spacing w:after="120"/>
      </w:pPr>
      <w:r>
        <w:t xml:space="preserve">If EndNote is not being used, format references in the same style as EndNote.</w:t>
      </w:r>
    </w:p>
    <w:p>
      <w:pPr>
        <w:pStyle w:val="Heading2"/>
        <w:spacing w:after="120" w:before="280"/>
      </w:pPr>
      <w:r>
        <w:t xml:space="preserve">Authors</w:t>
      </w:r>
    </w:p>
    <w:p>
      <w:pPr>
        <w:pStyle w:val="ListParagraph"/>
        <w:numPr>
          <w:ilvl w:val="0"/>
          <w:numId w:val="2"/>
        </w:numPr>
        <w:spacing w:after="60"/>
      </w:pPr>
      <w:r>
        <w:t xml:space="preserve">One author format: [Surname] [initials – no full stops or spaces between each initial].</w:t>
      </w:r>
    </w:p>
    <w:p>
      <w:pPr>
        <w:pStyle w:val="ListParagraph"/>
        <w:numPr>
          <w:ilvl w:val="0"/>
          <w:numId w:val="2"/>
        </w:numPr>
        <w:spacing w:after="60"/>
      </w:pPr>
      <w:r>
        <w:t xml:space="preserve">More than one author format: [Surname] [initials] </w:t>
      </w:r>
      <w:r>
        <w:rPr>
          <w:i/>
          <w:iCs/>
        </w:rPr>
        <w:t xml:space="preserve">et al.</w:t>
      </w:r>
      <w:r>
        <w:t xml:space="preserve"/>
      </w:r>
    </w:p>
    <w:p>
      <w:pPr>
        <w:pStyle w:val="ListParagraph"/>
        <w:numPr>
          <w:ilvl w:val="0"/>
          <w:numId w:val="2"/>
        </w:numPr>
        <w:spacing w:after="60"/>
      </w:pPr>
      <w:r>
        <w:t xml:space="preserve">Two authors: [Surname] [initials], [Surname] [initials].</w:t>
      </w:r>
    </w:p>
    <w:p>
      <w:pPr>
        <w:pStyle w:val="Heading2"/>
        <w:spacing w:after="120" w:before="280"/>
      </w:pPr>
      <w:r>
        <w:t xml:space="preserve">Punctuation and ranges</w:t>
      </w:r>
    </w:p>
    <w:p>
      <w:pPr>
        <w:pStyle w:val="ListParagraph"/>
        <w:numPr>
          <w:ilvl w:val="0"/>
          <w:numId w:val="2"/>
        </w:numPr>
        <w:spacing w:after="60"/>
      </w:pPr>
      <w:r>
        <w:t xml:space="preserve">No spaces after colon and semi-colon (“:” and “;”) in journal references.</w:t>
      </w:r>
    </w:p>
    <w:p>
      <w:pPr>
        <w:pStyle w:val="ListParagraph"/>
        <w:numPr>
          <w:ilvl w:val="0"/>
          <w:numId w:val="2"/>
        </w:numPr>
        <w:spacing w:after="60"/>
      </w:pPr>
      <w:r>
        <w:t xml:space="preserve">Use an en-dash to indicate page ranges.</w:t>
      </w:r>
    </w:p>
    <w:p>
      <w:pPr>
        <w:pStyle w:val="ListParagraph"/>
        <w:numPr>
          <w:ilvl w:val="0"/>
          <w:numId w:val="2"/>
        </w:numPr>
        <w:spacing w:after="60"/>
      </w:pPr>
      <w:r>
        <w:t xml:space="preserve">Always use the least possible number of digits to indicate page ranges, e.g. 304–8, 309–12 and 293–303.</w:t>
      </w:r>
    </w:p>
    <w:p>
      <w:pPr>
        <w:pStyle w:val="Heading1"/>
        <w:spacing w:after="180" w:before="360"/>
      </w:pPr>
      <w:r>
        <w:t xml:space="preserve">Other reference formats</w:t>
      </w:r>
    </w:p>
    <w:p>
      <w:pPr>
        <w:pStyle w:val="Heading2"/>
        <w:spacing w:after="120" w:before="280"/>
      </w:pPr>
      <w:r>
        <w:t xml:space="preserve">Book — single author</w:t>
      </w:r>
    </w:p>
    <w:p>
      <w:pPr>
        <w:pStyle w:val="ListParagraph"/>
        <w:numPr>
          <w:ilvl w:val="0"/>
          <w:numId w:val="2"/>
        </w:numPr>
        <w:spacing w:after="60"/>
      </w:pPr>
      <w:r>
        <w:t xml:space="preserve">Shepard TH. Catalog of Teratogenic Agents. 7th ed. Baltimore. Johns Hopkins Press; 1992.</w:t>
      </w:r>
    </w:p>
    <w:p>
      <w:pPr>
        <w:pStyle w:val="Heading2"/>
        <w:spacing w:after="120" w:before="280"/>
      </w:pPr>
      <w:r>
        <w:t xml:space="preserve">Book — more than one author</w:t>
      </w:r>
    </w:p>
    <w:p>
      <w:pPr>
        <w:spacing w:after="120"/>
      </w:pPr>
      <w:r>
        <w:t xml:space="preserve">(List all authors if three or less, otherwise list first three followed by “</w:t>
      </w:r>
      <w:r>
        <w:rPr>
          <w:i/>
          <w:iCs/>
        </w:rPr>
        <w:t xml:space="preserve">et al.</w:t>
      </w:r>
      <w:r>
        <w:t xml:space="preserve">”.)</w:t>
      </w:r>
    </w:p>
    <w:p>
      <w:pPr>
        <w:pStyle w:val="ListParagraph"/>
        <w:numPr>
          <w:ilvl w:val="0"/>
          <w:numId w:val="2"/>
        </w:numPr>
        <w:spacing w:after="60"/>
      </w:pPr>
      <w:r>
        <w:t xml:space="preserve">Caselt RC, Cravey RH. Disposition of toxic drugs and chemicals in man. 4th ed. : Chemical Toxicology Institute; 1995.</w:t>
      </w:r>
    </w:p>
    <w:p>
      <w:pPr>
        <w:pStyle w:val="Heading2"/>
        <w:spacing w:after="120" w:before="280"/>
      </w:pPr>
      <w:r>
        <w:t xml:space="preserve">Book — with editors</w:t>
      </w:r>
    </w:p>
    <w:p>
      <w:pPr>
        <w:pStyle w:val="ListParagraph"/>
        <w:numPr>
          <w:ilvl w:val="0"/>
          <w:numId w:val="2"/>
        </w:numPr>
        <w:spacing w:after="60"/>
      </w:pPr>
      <w:r>
        <w:t xml:space="preserve">Armitage JO, Antman KH, eds. High-dose cancer therapy: Pharmacology, hematopoietins, stem cells. : Williams &amp; Wilkins; 1995.</w:t>
      </w:r>
    </w:p>
    <w:p>
      <w:pPr>
        <w:pStyle w:val="Heading2"/>
        <w:spacing w:after="120" w:before="280"/>
      </w:pPr>
      <w:r>
        <w:t xml:space="preserve">Chapter from a book</w:t>
      </w:r>
    </w:p>
    <w:p>
      <w:pPr>
        <w:pStyle w:val="ListParagraph"/>
        <w:numPr>
          <w:ilvl w:val="0"/>
          <w:numId w:val="2"/>
        </w:numPr>
        <w:spacing w:after="60"/>
      </w:pPr>
      <w:r>
        <w:t xml:space="preserve">Degner LF, McWilliams ME. Challenges in conducting cross-national nursing research. In: Fitzpatrick JJ, Stevenson JS, eds. Nursing Research and its Utilization: of Science. New York, NY: Springer; 1994:211–15.</w:t>
      </w:r>
    </w:p>
    <w:p>
      <w:pPr>
        <w:pStyle w:val="Heading2"/>
        <w:spacing w:after="120" w:before="280"/>
      </w:pPr>
      <w:r>
        <w:t xml:space="preserve">Data on file</w:t>
      </w:r>
    </w:p>
    <w:p>
      <w:pPr>
        <w:pStyle w:val="ListParagraph"/>
        <w:numPr>
          <w:ilvl w:val="0"/>
          <w:numId w:val="2"/>
        </w:numPr>
        <w:spacing w:after="60"/>
      </w:pPr>
      <w:r>
        <w:t xml:space="preserve">References citing “Data on file” should provide identification of document(s).</w:t>
      </w:r>
    </w:p>
    <w:p>
      <w:pPr>
        <w:pStyle w:val="Heading2"/>
        <w:spacing w:after="120" w:before="280"/>
      </w:pPr>
      <w:r>
        <w:t xml:space="preserve">In press</w:t>
      </w:r>
    </w:p>
    <w:p>
      <w:pPr>
        <w:pStyle w:val="ListParagraph"/>
        <w:numPr>
          <w:ilvl w:val="0"/>
          <w:numId w:val="2"/>
        </w:numPr>
        <w:spacing w:after="60"/>
      </w:pPr>
      <w:r>
        <w:t xml:space="preserve">References that are “In press” should cite the publication by which they have been accepted.</w:t>
      </w:r>
    </w:p>
    <w:p>
      <w:pPr>
        <w:pStyle w:val="Heading2"/>
        <w:spacing w:after="120" w:before="280"/>
      </w:pPr>
      <w:r>
        <w:t xml:space="preserve">Journal supplement</w:t>
      </w:r>
    </w:p>
    <w:p>
      <w:pPr>
        <w:pStyle w:val="ListParagraph"/>
        <w:numPr>
          <w:ilvl w:val="0"/>
          <w:numId w:val="2"/>
        </w:numPr>
        <w:spacing w:after="60"/>
      </w:pPr>
      <w:r>
        <w:t xml:space="preserve">Newsome SD. Int J MS Care 2014:16(Suppl 7):7–13.</w:t>
      </w:r>
    </w:p>
    <w:p>
      <w:pPr>
        <w:pStyle w:val="Heading2"/>
        <w:spacing w:after="120" w:before="280"/>
      </w:pPr>
      <w:r>
        <w:t xml:space="preserve">Supplementary appendix to a paper</w:t>
      </w:r>
    </w:p>
    <w:p>
      <w:pPr>
        <w:pStyle w:val="ListParagraph"/>
        <w:numPr>
          <w:ilvl w:val="0"/>
          <w:numId w:val="2"/>
        </w:numPr>
        <w:spacing w:after="60"/>
      </w:pPr>
      <w:r>
        <w:t xml:space="preserve">Arroyo González R </w:t>
      </w:r>
      <w:r>
        <w:rPr>
          <w:i/>
          <w:iCs/>
        </w:rPr>
        <w:t xml:space="preserve">et al.</w:t>
      </w:r>
      <w:r>
        <w:t xml:space="preserve"> Mult Scler J 2017;23(10):1367–76 (Suppl appendix).</w:t>
      </w:r>
    </w:p>
    <w:p>
      <w:pPr>
        <w:pStyle w:val="Heading1"/>
        <w:spacing w:after="180" w:before="360"/>
      </w:pPr>
      <w:r>
        <w:t xml:space="preserve">Figures and tables</w:t>
      </w:r>
    </w:p>
    <w:p>
      <w:pPr>
        <w:pStyle w:val="ListParagraph"/>
        <w:numPr>
          <w:ilvl w:val="0"/>
          <w:numId w:val="2"/>
        </w:numPr>
        <w:spacing w:after="60"/>
      </w:pPr>
      <w:r>
        <w:t xml:space="preserve">Reference format for ‘Adapted from’ statement is [First author surname] </w:t>
      </w:r>
      <w:r>
        <w:rPr>
          <w:i/>
          <w:iCs/>
        </w:rPr>
        <w:t xml:space="preserve">et al.</w:t>
      </w:r>
      <w:r>
        <w:t xml:space="preserve"> [publication year].reference citation</w:t>
      </w:r>
    </w:p>
    <w:p>
      <w:pPr>
        <w:pStyle w:val="ListParagraph"/>
        <w:numPr>
          <w:ilvl w:val="0"/>
          <w:numId w:val="2"/>
        </w:numPr>
        <w:spacing w:after="60"/>
      </w:pPr>
      <w:r>
        <w:t xml:space="preserve">Note no author initials are included.</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777777"/>
        <w:sz w:val="18"/>
        <w:szCs w:val="18"/>
      </w:rPr>
      <w:t xml:space="preserve">Page </w:t>
    </w:r>
    <w:r>
      <w:rPr>
        <w:color w:val="777777"/>
        <w:sz w:val="18"/>
        <w:szCs w:val="18"/>
      </w:rPr>
      <w:fldChar w:fldCharType="begin"/>
      <w:instrText xml:space="preserve">PAGE</w:instrText>
      <w:fldChar w:fldCharType="separate"/>
      <w:fldChar w:fldCharType="end"/>
    </w:r>
    <w:r>
      <w:rPr>
        <w:color w:val="777777"/>
        <w:sz w:val="18"/>
        <w:szCs w:val="18"/>
      </w:rPr>
      <w:t xml:space="preserve"> of </w:t>
    </w:r>
    <w:r>
      <w:rPr>
        <w:color w:val="777777"/>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777777"/>
        <w:sz w:val="18"/>
        <w:szCs w:val="18"/>
      </w:rPr>
      <w:t xml:space="preserve">Ward6  |  Style &amp; Process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2937"/>
      <w:sz w:val="32"/>
      <w:szCs w:val="32"/>
    </w:rPr>
  </w:style>
  <w:style w:type="paragraph" w:styleId="Heading2">
    <w:name w:val="Heading 2"/>
    <w:basedOn w:val="Normal"/>
    <w:next w:val="Normal"/>
    <w:qFormat/>
    <w:pPr>
      <w:spacing w:after="120" w:before="280"/>
      <w:outlineLvl w:val="1"/>
    </w:pPr>
    <w:rPr>
      <w:rFonts w:ascii="Calibri" w:cs="Calibri" w:eastAsia="Calibri" w:hAnsi="Calibri"/>
      <w:b/>
      <w:bCs/>
      <w:color w:val="1F2937"/>
      <w:sz w:val="26"/>
      <w:szCs w:val="26"/>
    </w:rPr>
  </w:style>
  <w:style w:type="paragraph" w:styleId="Heading3">
    <w:name w:val="Heading 3"/>
    <w:basedOn w:val="Normal"/>
    <w:next w:val="Normal"/>
    <w:qFormat/>
    <w:pPr>
      <w:spacing w:after="80" w:before="200"/>
      <w:outlineLvl w:val="2"/>
    </w:pPr>
    <w:rPr>
      <w:rFonts w:ascii="Calibri" w:cs="Calibri" w:eastAsia="Calibri" w:hAnsi="Calibri"/>
      <w:b/>
      <w:bCs/>
      <w:color w:val="37415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Ward6 Style &amp; Process</dc:title>
  <dc:creator>Ward6</dc:creator>
  <cp:lastModifiedBy>Un-named</cp:lastModifiedBy>
  <cp:revision>1</cp:revision>
  <dcterms:created xsi:type="dcterms:W3CDTF">2026-05-05T04:52:05.313Z</dcterms:created>
  <dcterms:modified xsi:type="dcterms:W3CDTF">2026-05-05T04:52:05.314Z</dcterms:modified>
</cp:coreProperties>
</file>

<file path=docProps/custom.xml><?xml version="1.0" encoding="utf-8"?>
<Properties xmlns="http://schemas.openxmlformats.org/officeDocument/2006/custom-properties" xmlns:vt="http://schemas.openxmlformats.org/officeDocument/2006/docPropsVTypes"/>
</file>