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"/>
        <w:jc w:val="left"/>
      </w:pPr>
      <w:r>
        <w:rPr>
          <w:b/>
          <w:bCs/>
          <w:sz w:val="44"/>
          <w:szCs w:val="44"/>
        </w:rPr>
        <w:t xml:space="preserve">Ward6 Production Workflow</w:t>
      </w:r>
    </w:p>
    <w:p>
      <w:pPr>
        <w:spacing w:after="120"/>
      </w:pPr>
      <w:r>
        <w:rPr>
          <w:color w:val="555555"/>
          <w:sz w:val="28"/>
          <w:szCs w:val="28"/>
        </w:rPr>
        <w:t xml:space="preserve">File paths, templates, EndNote setup, version control</w:t>
      </w:r>
    </w:p>
    <w:p>
      <w:pPr>
        <w:spacing w:after="240"/>
      </w:pPr>
      <w:r>
        <w:rPr>
          <w:i/>
          <w:iCs/>
          <w:color w:val="777777"/>
        </w:rPr>
        <w:t xml:space="preserve">Originally drafted June 2018 (The Other Health Group). Working version split from the combined Style &amp; Process Guide for review.</w:t>
      </w:r>
    </w:p>
    <w:p>
      <w:pPr>
        <w:spacing w:after="120"/>
      </w:pPr>
      <w:r>
        <w:t xml:space="preserve">This document covers production process — where files live, which templates to use, how to set up EndNote, and how to name and version copy documents. It is a companion to the Ward6 House Style Guide and Ward6 References Style.</w:t>
      </w:r>
    </w:p>
    <w:p>
      <w:pPr>
        <w:spacing w:after="120"/>
      </w:pPr>
      <w:r>
        <w:t xml:space="preserve">All paths below begin with the agency W: drive. Amend according to local agency.</w:t>
      </w:r>
    </w:p>
    <w:p>
      <w:pPr>
        <w:pBdr>
          <w:bottom w:val="single" w:color="999999" w:sz="6" w:space="1"/>
        </w:pBdr>
        <w:spacing w:after="240"/>
      </w:pPr>
    </w:p>
    <w:p>
      <w:pPr>
        <w:pStyle w:val="Heading1"/>
        <w:spacing w:after="180" w:before="360"/>
      </w:pPr>
      <w:r>
        <w:t xml:space="preserve">Copy document template</w:t>
      </w:r>
    </w:p>
    <w:p>
      <w:pPr>
        <w:spacing w:after="120"/>
      </w:pPr>
      <w:r>
        <w:t xml:space="preserve">Always use the standard Ward6, 66 South or McCann copy doc template, saved here: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W:\EDITORIAL (amend according to local agency)</w:t>
      </w:r>
    </w:p>
    <w:p>
      <w:pPr>
        <w:spacing w:after="120"/>
      </w:pPr>
      <w:r>
        <w:t xml:space="preserve">When opened, this template creates a new, unnamed document, so you will need to save it down into the correct job folder: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W:\CLIENTS\[client name]\[brand name]\Jobs\[job number] [job name]\2. Copy</w:t>
      </w:r>
    </w:p>
    <w:p>
      <w:pPr>
        <w:spacing w:after="120"/>
      </w:pPr>
      <w:r>
        <w:t xml:space="preserve">The template includes a first line indent that allows space for the style of copy in the left hand side and the copy on the right side of the page. Commonly used styles are: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Title — the name of the piece appearing on the front cover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Header — the header for each section (try to keep this to ≤2 lines)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Subheader — if needed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Qualifier (3 mm ‘e’) — generally appears directly under the qualified claim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Graphic title — make sure this clearly indicates what the image/graph is showing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Copy — body copy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Footer — small print (e.g. abbreviations)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[red] to provide instructions for studio/layout, e.g. [page 1] or [adapt image from job number XXX]</w:t>
      </w:r>
    </w:p>
    <w:p>
      <w:pPr>
        <w:pStyle w:val="Heading1"/>
        <w:spacing w:after="180" w:before="360"/>
      </w:pPr>
      <w:r>
        <w:t xml:space="preserve">Filename convention</w:t>
      </w:r>
    </w:p>
    <w:p>
      <w:pPr>
        <w:spacing w:after="120"/>
      </w:pPr>
      <w:r>
        <w:t xml:space="preserve">Use the standard naming convention for filenames: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[job number] [job name] v[X] YYMMDD</w:t>
      </w:r>
    </w:p>
    <w:p>
      <w:pPr>
        <w:pStyle w:val="Heading1"/>
        <w:spacing w:after="180" w:before="360"/>
      </w:pPr>
      <w:r>
        <w:t xml:space="preserve">Version control and revisions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v1 for first draft, with letter (b, c, etc) for internal updates or rounds of changes by the author.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When reviewed/updated internally by another writer or account service, add reviewer’s initials to the version (e.g. v1b_SC).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Increase to a new version number each time it goes through client review (e.g. v2 will incorporate client feedback from v1c).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Remember to update the version and date on the document header, as well as saving with the updated filename.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Highlight any changes made to the copy document (and remove any previous highlights).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Copy doc should be updated when revising content of artwork printouts.</w:t>
      </w:r>
    </w:p>
    <w:p>
      <w:pPr>
        <w:pStyle w:val="Heading1"/>
        <w:spacing w:after="180" w:before="360"/>
      </w:pPr>
      <w:r>
        <w:t xml:space="preserve">Reference saving</w:t>
      </w:r>
    </w:p>
    <w:p>
      <w:pPr>
        <w:spacing w:after="120"/>
      </w:pPr>
      <w:r>
        <w:t xml:space="preserve">All reference PDFs for a brand should be saved in the reference folder under the brand: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W:\CLIENTS\[client name]\[brand name]\Reference library &amp; PI files</w:t>
      </w:r>
    </w:p>
    <w:p>
      <w:pPr>
        <w:spacing w:after="120"/>
      </w:pPr>
      <w:r>
        <w:t xml:space="preserve">Mark up references as you prepare copy for each job and save the marked-up references in the reference folder under the job: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W:\CLIENTS\[client name]\[brand name]\Jobs\[job number] [job name]\2. Copy\2. Ref pack</w:t>
      </w:r>
    </w:p>
    <w:p>
      <w:pPr>
        <w:spacing w:after="120"/>
      </w:pPr>
      <w:r>
        <w:t xml:space="preserve">If new references are identified for a job, save them to the reference folder for the brand as well as under the specific job.</w:t>
      </w:r>
    </w:p>
    <w:p>
      <w:pPr>
        <w:pStyle w:val="Heading1"/>
        <w:spacing w:after="180" w:before="360"/>
      </w:pPr>
      <w:r>
        <w:t xml:space="preserve">EndNote setup</w:t>
      </w:r>
    </w:p>
    <w:p>
      <w:pPr>
        <w:spacing w:after="120"/>
      </w:pPr>
      <w:r>
        <w:t xml:space="preserve">Save the main EndNote library in the reference folder under the brand: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W:\CLIENTS\[client name]\[brand name]\Reference library &amp; PI files</w:t>
      </w:r>
    </w:p>
    <w:p>
      <w:pPr>
        <w:spacing w:after="120"/>
      </w:pPr>
      <w:r>
        <w:t xml:space="preserve">Copy the library and data folder across to your job reference folder when required. If you add references to the EndNote library saved in a specific job folder, you will also need to add them to the brand reference folder.</w:t>
      </w:r>
    </w:p>
    <w:p>
      <w:pPr>
        <w:spacing w:after="120"/>
      </w:pPr>
      <w:r>
        <w:t xml:space="preserve">The EndNote output style is called Ward6 House Style February 2018. The file should be saved in the EndNote style folder on your computer; if it’s not there, please ask Paul to install it. A copy is saved here: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W:\EDITORIAL</w:t>
      </w:r>
    </w:p>
    <w:p>
      <w:pPr>
        <w:pStyle w:val="Heading1"/>
        <w:spacing w:after="180" w:before="360"/>
      </w:pPr>
      <w:r>
        <w:t xml:space="preserve">Copy documents in PowerPoint</w:t>
      </w:r>
    </w:p>
    <w:p>
      <w:pPr>
        <w:spacing w:after="120"/>
      </w:pPr>
      <w:r>
        <w:t xml:space="preserve">Copy for eDAs can be prepared in PowerPoint.</w:t>
      </w:r>
    </w:p>
    <w:p>
      <w:pPr>
        <w:pStyle w:val="Heading2"/>
        <w:spacing w:after="120" w:before="280"/>
      </w:pPr>
      <w:r>
        <w:t xml:space="preserve">Pros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Gives a screen size that approximates the iPad display.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Can position text around fixed items such as menu bars.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Works well with pages that are referenced individually.</w:t>
      </w:r>
    </w:p>
    <w:p>
      <w:pPr>
        <w:pStyle w:val="Heading2"/>
        <w:spacing w:after="120" w:before="280"/>
      </w:pPr>
      <w:r>
        <w:t xml:space="preserve">Cons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No EndNote, so does not work well if the eDA is referenced from start to finish, and refs must be formatted manually.</w:t>
      </w:r>
    </w:p>
    <w:p>
      <w:pPr>
        <w:pStyle w:val="Heading1"/>
        <w:spacing w:after="180" w:before="360"/>
      </w:pPr>
      <w:r>
        <w:t xml:space="preserve">Companion documents</w:t>
      </w:r>
    </w:p>
    <w:p>
      <w:pPr>
        <w:spacing w:after="120"/>
      </w:pPr>
      <w:r>
        <w:t xml:space="preserve">For language, formatting, science conventions, and word usage, see Ward6 House Style Guide.</w:t>
      </w:r>
    </w:p>
    <w:p>
      <w:pPr>
        <w:spacing w:after="120"/>
      </w:pPr>
      <w:r>
        <w:t xml:space="preserve">For full reference/citation formatting (Endnote and manual, journals, books, posters, websites, data on file, in press, supplements, figures and tables), see Ward6 References Style.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77777"/>
        <w:sz w:val="18"/>
        <w:szCs w:val="18"/>
      </w:rPr>
      <w:t xml:space="preserve">Page </w:t>
    </w:r>
    <w:r>
      <w:rPr>
        <w:color w:val="777777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777777"/>
        <w:sz w:val="18"/>
        <w:szCs w:val="18"/>
      </w:rPr>
      <w:t xml:space="preserve"> of </w:t>
    </w:r>
    <w:r>
      <w:rPr>
        <w:color w:val="777777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777777"/>
        <w:sz w:val="18"/>
        <w:szCs w:val="18"/>
      </w:rPr>
      <w:t xml:space="preserve">Ward6  |  Style &amp;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1F2937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1F2937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Calibri" w:cs="Calibri" w:eastAsia="Calibri" w:hAnsi="Calibri"/>
      <w:b/>
      <w:bC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Ward6 Style &amp; Process</dc:title>
  <dc:creator>Ward6</dc:creator>
  <cp:lastModifiedBy>Un-named</cp:lastModifiedBy>
  <cp:revision>1</cp:revision>
  <dcterms:created xsi:type="dcterms:W3CDTF">2026-05-05T04:52:51.415Z</dcterms:created>
  <dcterms:modified xsi:type="dcterms:W3CDTF">2026-05-05T04:52:51.416Z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