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240"/>
        <w:jc w:val="left"/>
      </w:pPr>
      <w:r>
        <w:rPr>
          <w:b/>
          <w:bCs/>
          <w:sz w:val="44"/>
          <w:szCs w:val="44"/>
        </w:rPr>
        <w:t xml:space="preserve">Ward6 House Style</w:t>
      </w:r>
    </w:p>
    <w:p>
      <w:pPr>
        <w:spacing w:after="120"/>
      </w:pPr>
      <w:r>
        <w:rPr>
          <w:color w:val="555555"/>
          <w:sz w:val="28"/>
          <w:szCs w:val="28"/>
        </w:rPr>
        <w:t xml:space="preserve">Mechanics — language, formatting, science conventions</w:t>
      </w:r>
    </w:p>
    <w:p>
      <w:pPr>
        <w:spacing w:after="240"/>
      </w:pPr>
      <w:r>
        <w:rPr>
          <w:i/>
          <w:iCs/>
          <w:color w:val="777777"/>
        </w:rPr>
        <w:t xml:space="preserve">Originally drafted June 2018 (The Other Health Group). Working version split into concept-based documents for review and per-team override.</w:t>
      </w:r>
    </w:p>
    <w:p>
      <w:pPr>
        <w:spacing w:after="120"/>
      </w:pPr>
      <w:r>
        <w:t>This document covers the mechanical rules of writing — spelling, punctuation, numbers, references-in-text, science conventions, word usage, banned phrases, and inclusive language. It is one of six Ward6 style documents. See the companion list at the end.</w:t>
      </w:r>
    </w:p>
    <w:p>
      <w:pPr/>
      <w:r>
        <w:rPr/>
        <w:t>This house style should be used in conjunction with the project brief. The recommendations are the default style unless specified in the brief.</w:t>
      </w:r>
    </w:p>
    <w:p>
      <w:pPr>
        <w:spacing w:after="120"/>
      </w:pPr>
      <w:r>
        <w:t xml:space="preserve">Different teams within the group may maintain their own House Style overrides. Where a brand brief specifies otherwise, the brief wins.</w:t>
      </w:r>
    </w:p>
    <w:p>
      <w:pPr>
        <w:pBdr>
          <w:bottom w:val="single" w:color="999999" w:sz="6" w:space="1"/>
        </w:pBdr>
        <w:spacing w:after="240"/>
      </w:pPr>
    </w:p>
    <w:p>
      <w:pPr>
        <w:pStyle w:val="Heading1"/>
        <w:spacing w:after="180" w:before="360"/>
      </w:pPr>
      <w:r>
        <w:t xml:space="preserve">How to read this document</w:t>
      </w:r>
    </w:p>
    <w:p>
      <w:pPr>
        <w:spacing w:after="120"/>
      </w:pPr>
      <w:r>
        <w:rPr>
          <w:highlight w:val="yellow"/>
          <w:highlightCs w:val="yellow"/>
        </w:rPr>
        <w:t xml:space="preserve">All content highlighted in yellow is a PROPOSED ADDITION to the existing house style. The team is asked to confirm: is this something we already do? Should we start doing it? Or is it not relevant?</w:t>
      </w:r>
    </w:p>
    <w:p>
      <w:pPr>
        <w:spacing w:after="120"/>
      </w:pPr>
      <w:r>
        <w:rPr>
          <w:highlight w:val="yellow"/>
          <w:highlightCs w:val="yellow"/>
        </w:rPr>
        <w:t xml:space="preserve">Unhighlighted content is the original 2018 house style, preserved verbatim where possible.</w:t>
      </w:r>
    </w:p>
    <w:p>
      <w:pPr>
        <w:pStyle w:val="Heading2"/>
        <w:spacing w:after="120" w:before="280"/>
      </w:pPr>
      <w:r>
        <w:rPr>
          <w:highlight w:val="yellow"/>
          <w:highlightCs w:val="yellow"/>
        </w:rPr>
        <w:t xml:space="preserve">[PROPOSED] Status and refresh</w:t>
      </w:r>
    </w:p>
    <w:p>
      <w:pPr>
        <w:spacing w:after="120"/>
      </w:pPr>
      <w:r>
        <w:rPr>
          <w:highlight w:val="yellow"/>
          <w:highlightCs w:val="yellow"/>
        </w:rPr>
        <w:t xml:space="preserve">The current house style is dated June 2018. Team to confirm: is the content still current, who owns it going forward, and should it be re-stamped with a current revision date.</w:t>
      </w:r>
    </w:p>
    <w:p>
      <w:r>
        <w:br w:type="page"/>
      </w:r>
    </w:p>
    <w:p>
      <w:pPr>
        <w:pStyle w:val="Heading1"/>
        <w:spacing w:after="180" w:before="360"/>
      </w:pPr>
      <w:r>
        <w:t xml:space="preserve">General</w:t>
      </w:r>
    </w:p>
    <w:p>
      <w:pPr>
        <w:pStyle w:val="Heading2"/>
        <w:spacing w:after="120" w:before="280"/>
      </w:pPr>
      <w:r>
        <w:t xml:space="preserve">Document length and spacing</w:t>
      </w:r>
    </w:p>
    <w:p>
      <w:pPr>
        <w:pStyle w:val="ListParagraph"/>
        <w:numPr>
          <w:ilvl w:val="0"/>
          <w:numId w:val="2"/>
        </w:numPr>
        <w:spacing w:after="60"/>
      </w:pPr>
      <w:r>
        <w:t xml:space="preserve">For ‘scientific’ documents (e.g. newsletters) aim for a maximum of 300 words for an A4 page. Headings, subheadings, lists and graphics/images, which should be used as much as possible, will all reduce the number of words per page.</w:t>
      </w:r>
    </w:p>
    <w:p>
      <w:pPr>
        <w:pStyle w:val="ListParagraph"/>
        <w:numPr>
          <w:ilvl w:val="0"/>
          <w:numId w:val="2"/>
        </w:numPr>
        <w:spacing w:after="60"/>
      </w:pPr>
      <w:r>
        <w:t xml:space="preserve">A single space should follow each full stop before commencing the next sentence.</w:t>
      </w:r>
    </w:p>
    <w:p>
      <w:pPr>
        <w:pStyle w:val="Heading2"/>
        <w:spacing w:after="120" w:before="280"/>
      </w:pPr>
      <w:r>
        <w:t xml:space="preserve">Patient dignity</w:t>
      </w:r>
    </w:p>
    <w:p>
      <w:pPr>
        <w:pStyle w:val="ListParagraph"/>
        <w:numPr>
          <w:ilvl w:val="0"/>
          <w:numId w:val="2"/>
        </w:numPr>
        <w:spacing w:after="60"/>
      </w:pPr>
      <w:r>
        <w:t xml:space="preserve">Patients are people. People have a disease or condition, they are not defined by it.</w:t>
      </w:r>
    </w:p>
    <w:p>
      <w:pPr>
        <w:pStyle w:val="ListParagraph"/>
        <w:numPr>
          <w:ilvl w:val="0"/>
          <w:numId w:val="2"/>
        </w:numPr>
        <w:spacing w:after="60"/>
      </w:pPr>
      <w:r>
        <w:t xml:space="preserve">People with diabetes (or people living with diabetes), not diabetic patients.</w:t>
      </w:r>
    </w:p>
    <w:p>
      <w:pPr>
        <w:pStyle w:val="ListParagraph"/>
        <w:numPr>
          <w:ilvl w:val="0"/>
          <w:numId w:val="2"/>
        </w:numPr>
        <w:spacing w:after="60"/>
      </w:pPr>
      <w:r>
        <w:t xml:space="preserve">People are not well or poorly controlled, but their disease or condition may be.</w:t>
      </w:r>
    </w:p>
    <w:p>
      <w:pPr>
        <w:pStyle w:val="ListParagraph"/>
        <w:numPr>
          <w:ilvl w:val="0"/>
          <w:numId w:val="2"/>
        </w:numPr>
        <w:spacing w:after="60"/>
      </w:pPr>
      <w:r>
        <w:t xml:space="preserve">People with well-controlled asthma, not well-controlled patients with asthma.</w:t>
      </w:r>
    </w:p>
    <w:p>
      <w:pPr>
        <w:pStyle w:val="Heading3"/>
        <w:spacing w:after="80" w:before="200"/>
      </w:pPr>
      <w:r>
        <w:rPr>
          <w:highlight w:val="yellow"/>
          <w:highlightCs w:val="yellow"/>
        </w:rPr>
        <w:t xml:space="preserve">[PROPOSED] Inclusive language (expansion of patient dignity)</w:t>
      </w:r>
    </w:p>
    <w:p>
      <w:pPr>
        <w:spacing w:after="120"/>
      </w:pPr>
      <w:r>
        <w:rPr>
          <w:highlight w:val="yellow"/>
          <w:highlightCs w:val="yellow"/>
        </w:rPr>
        <w:t xml:space="preserve">Patient dignity is part of inclusive language. Suggested additions for the team to consider:</w:t>
      </w:r>
    </w:p>
    <w:p>
      <w:pPr>
        <w:pStyle w:val="ListParagraph"/>
        <w:numPr>
          <w:ilvl w:val="0"/>
          <w:numId w:val="2"/>
        </w:numPr>
        <w:spacing w:after="60"/>
      </w:pPr>
      <w:r>
        <w:rPr>
          <w:highlight w:val="yellow"/>
          <w:highlightCs w:val="yellow"/>
        </w:rPr>
        <w:t xml:space="preserve">Gender: default to gender-neutral phrasing where clinically appropriate (“people with prostate cancer” over “men with prostate cancer” unless a study population is sex-specific).</w:t>
      </w:r>
    </w:p>
    <w:p>
      <w:pPr>
        <w:pStyle w:val="ListParagraph"/>
        <w:numPr>
          <w:ilvl w:val="0"/>
          <w:numId w:val="2"/>
        </w:numPr>
        <w:spacing w:after="60"/>
      </w:pPr>
      <w:r>
        <w:rPr>
          <w:highlight w:val="yellow"/>
          <w:highlightCs w:val="yellow"/>
        </w:rPr>
        <w:t xml:space="preserve">Disability: people-first language (“people with epilepsy”, not “epileptics”) unless a community has signalled a preference for identity-first phrasing.</w:t>
      </w:r>
    </w:p>
    <w:p>
      <w:pPr>
        <w:pStyle w:val="ListParagraph"/>
        <w:numPr>
          <w:ilvl w:val="0"/>
          <w:numId w:val="2"/>
        </w:numPr>
        <w:spacing w:after="60"/>
      </w:pPr>
      <w:r>
        <w:rPr>
          <w:highlight w:val="yellow"/>
          <w:highlightCs w:val="yellow"/>
        </w:rPr>
        <w:t xml:space="preserve">Mental health: avoid “suffering from”; use “living with” or simply “has” unless quoting.</w:t>
      </w:r>
    </w:p>
    <w:p>
      <w:pPr>
        <w:pStyle w:val="ListParagraph"/>
        <w:numPr>
          <w:ilvl w:val="0"/>
          <w:numId w:val="2"/>
        </w:numPr>
        <w:spacing w:after="60"/>
      </w:pPr>
      <w:r>
        <w:rPr>
          <w:highlight w:val="yellow"/>
          <w:highlightCs w:val="yellow"/>
        </w:rPr>
        <w:t xml:space="preserve">Cultural: existing rule on Aboriginal and Torres Strait Islander capitalisation is good. Consider adding guidance on respectful framing (e.g. avoiding deficit language).</w:t>
      </w:r>
    </w:p>
    <w:p>
      <w:pPr>
        <w:pStyle w:val="ListParagraph"/>
        <w:numPr>
          <w:ilvl w:val="0"/>
          <w:numId w:val="2"/>
        </w:numPr>
        <w:spacing w:after="60"/>
      </w:pPr>
      <w:r>
        <w:rPr>
          <w:highlight w:val="yellow"/>
          <w:highlightCs w:val="yellow"/>
        </w:rPr>
        <w:t xml:space="preserve">Body and weight: avoid “obese” as a noun; use “people living with obesity”.</w:t>
      </w:r>
    </w:p>
    <w:p>
      <w:pPr>
        <w:pStyle w:val="ListParagraph"/>
        <w:numPr>
          <w:ilvl w:val="0"/>
          <w:numId w:val="2"/>
        </w:numPr>
        <w:spacing w:after="60"/>
      </w:pPr>
      <w:r>
        <w:rPr>
          <w:highlight w:val="yellow"/>
          <w:highlightCs w:val="yellow"/>
        </w:rPr>
        <w:t xml:space="preserve">Age: avoid “the elderly”; use “older people” or “older adults”.</w:t>
      </w:r>
    </w:p>
    <w:p>
      <w:pPr>
        <w:spacing w:after="120"/>
      </w:pPr>
      <w:r>
        <w:rPr>
          <w:highlight w:val="yellow"/>
          <w:highlightCs w:val="yellow"/>
        </w:rPr>
        <w:t xml:space="preserve">Team to confirm what to include and what wording to prefer.</w:t>
      </w:r>
    </w:p>
    <w:p>
      <w:pPr>
        <w:pStyle w:val="Heading2"/>
        <w:spacing w:after="120" w:before="280"/>
      </w:pPr>
      <w:r>
        <w:t xml:space="preserve">Spelling</w:t>
      </w:r>
    </w:p>
    <w:p>
      <w:pPr>
        <w:spacing w:after="120"/>
      </w:pPr>
      <w:r>
        <w:t xml:space="preserve">Use British spelling (except when quoting from a paper or writing the title of an overseas entity such as the Centers for Disease Control or World Health Organization).</w:t>
      </w:r>
    </w:p>
    <w:p>
      <w:pPr>
        <w:spacing w:after="120"/>
      </w:pPr>
      <w:r>
        <w:t xml:space="preserve">For example:</w:t>
      </w:r>
    </w:p>
    <w:p>
      <w:pPr>
        <w:pStyle w:val="ListParagraph"/>
        <w:numPr>
          <w:ilvl w:val="0"/>
          <w:numId w:val="2"/>
        </w:numPr>
        <w:spacing w:after="60"/>
      </w:pPr>
      <w:r>
        <w:t xml:space="preserve">-ise (</w:t>
      </w:r>
      <w:r>
        <w:rPr>
          <w:i/>
          <w:iCs/>
        </w:rPr>
        <w:t xml:space="preserve">randomise</w:t>
      </w:r>
      <w:r>
        <w:t xml:space="preserve">)</w:t>
      </w:r>
    </w:p>
    <w:p>
      <w:pPr>
        <w:pStyle w:val="ListParagraph"/>
        <w:numPr>
          <w:ilvl w:val="0"/>
          <w:numId w:val="2"/>
        </w:numPr>
        <w:spacing w:after="60"/>
      </w:pPr>
      <w:r>
        <w:t xml:space="preserve">-our (</w:t>
      </w:r>
      <w:r>
        <w:rPr>
          <w:i/>
          <w:iCs/>
        </w:rPr>
        <w:t xml:space="preserve">tumour</w:t>
      </w:r>
      <w:r>
        <w:t xml:space="preserve">)</w:t>
      </w:r>
    </w:p>
    <w:p>
      <w:pPr>
        <w:pStyle w:val="ListParagraph"/>
        <w:numPr>
          <w:ilvl w:val="0"/>
          <w:numId w:val="2"/>
        </w:numPr>
        <w:spacing w:after="60"/>
      </w:pPr>
      <w:r>
        <w:t xml:space="preserve">-ae (</w:t>
      </w:r>
      <w:r>
        <w:rPr>
          <w:i/>
          <w:iCs/>
        </w:rPr>
        <w:t xml:space="preserve">paediatric</w:t>
      </w:r>
      <w:r>
        <w:t xml:space="preserve">)</w:t>
      </w:r>
    </w:p>
    <w:p>
      <w:pPr>
        <w:pStyle w:val="ListParagraph"/>
        <w:numPr>
          <w:ilvl w:val="0"/>
          <w:numId w:val="2"/>
        </w:numPr>
        <w:spacing w:after="60"/>
      </w:pPr>
      <w:r>
        <w:t xml:space="preserve">-oe (</w:t>
      </w:r>
      <w:r>
        <w:rPr>
          <w:i/>
          <w:iCs/>
        </w:rPr>
        <w:t xml:space="preserve">foetus</w:t>
      </w:r>
      <w:r>
        <w:t xml:space="preserve">)</w:t>
      </w:r>
    </w:p>
    <w:p>
      <w:pPr>
        <w:pStyle w:val="ListParagraph"/>
        <w:numPr>
          <w:ilvl w:val="0"/>
          <w:numId w:val="2"/>
        </w:numPr>
        <w:spacing w:after="60"/>
      </w:pPr>
      <w:r>
        <w:t xml:space="preserve">Keep accents as per non-English names and spellings, e.g. </w:t>
      </w:r>
      <w:r>
        <w:rPr>
          <w:i/>
          <w:iCs/>
        </w:rPr>
        <w:t xml:space="preserve">Médicines Sans Frontières</w:t>
      </w:r>
      <w:r>
        <w:t xml:space="preserve">.</w:t>
      </w:r>
    </w:p>
    <w:p>
      <w:pPr>
        <w:pStyle w:val="Heading2"/>
        <w:spacing w:after="120" w:before="280"/>
      </w:pPr>
      <w:r>
        <w:rPr>
          <w:highlight w:val="yellow"/>
          <w:highlightCs w:val="yellow"/>
        </w:rPr>
        <w:t xml:space="preserve">[PROPOSED] Preferred terms / glossary</w:t>
      </w:r>
    </w:p>
    <w:p>
      <w:pPr>
        <w:spacing w:after="120"/>
      </w:pPr>
      <w:r>
        <w:rPr>
          <w:highlight w:val="yellow"/>
          <w:highlightCs w:val="yellow"/>
        </w:rPr>
        <w:t xml:space="preserve">A short glossary of preferences for terms commonly written more than one way. Starter list — team to confirm preferred form:</w:t>
      </w:r>
    </w:p>
    <w:p>
      <w:pPr>
        <w:pStyle w:val="ListParagraph"/>
        <w:numPr>
          <w:ilvl w:val="0"/>
          <w:numId w:val="2"/>
        </w:numPr>
        <w:spacing w:after="60"/>
      </w:pPr>
      <w:r>
        <w:rPr>
          <w:highlight w:val="yellow"/>
          <w:highlightCs w:val="yellow"/>
        </w:rPr>
        <w:t xml:space="preserve">healthcare (one word) vs health care</w:t>
      </w:r>
    </w:p>
    <w:p>
      <w:pPr>
        <w:pStyle w:val="ListParagraph"/>
        <w:numPr>
          <w:ilvl w:val="0"/>
          <w:numId w:val="2"/>
        </w:numPr>
        <w:spacing w:after="60"/>
      </w:pPr>
      <w:r>
        <w:rPr>
          <w:highlight w:val="yellow"/>
          <w:highlightCs w:val="yellow"/>
        </w:rPr>
        <w:t xml:space="preserve">wellbeing vs well-being vs well being</w:t>
      </w:r>
    </w:p>
    <w:p>
      <w:pPr>
        <w:pStyle w:val="ListParagraph"/>
        <w:numPr>
          <w:ilvl w:val="0"/>
          <w:numId w:val="2"/>
        </w:numPr>
        <w:spacing w:after="60"/>
      </w:pPr>
      <w:r>
        <w:rPr>
          <w:highlight w:val="yellow"/>
          <w:highlightCs w:val="yellow"/>
        </w:rPr>
        <w:t xml:space="preserve">eHealth vs e-health vs digital health</w:t>
      </w:r>
    </w:p>
    <w:p>
      <w:pPr>
        <w:pStyle w:val="ListParagraph"/>
        <w:numPr>
          <w:ilvl w:val="0"/>
          <w:numId w:val="2"/>
        </w:numPr>
        <w:spacing w:after="60"/>
      </w:pPr>
      <w:r>
        <w:rPr>
          <w:highlight w:val="yellow"/>
          <w:highlightCs w:val="yellow"/>
        </w:rPr>
        <w:t xml:space="preserve">decision-making vs decisionmaking vs decision making (as adj/noun)</w:t>
      </w:r>
    </w:p>
    <w:p>
      <w:pPr>
        <w:pStyle w:val="ListParagraph"/>
        <w:numPr>
          <w:ilvl w:val="0"/>
          <w:numId w:val="2"/>
        </w:numPr>
        <w:spacing w:after="60"/>
      </w:pPr>
      <w:r>
        <w:rPr>
          <w:highlight w:val="yellow"/>
          <w:highlightCs w:val="yellow"/>
        </w:rPr>
        <w:t xml:space="preserve">first-line vs first line (therapy)</w:t>
      </w:r>
    </w:p>
    <w:p>
      <w:pPr>
        <w:pStyle w:val="ListParagraph"/>
        <w:numPr>
          <w:ilvl w:val="0"/>
          <w:numId w:val="2"/>
        </w:numPr>
        <w:spacing w:after="60"/>
      </w:pPr>
      <w:r>
        <w:rPr>
          <w:highlight w:val="yellow"/>
          <w:highlightCs w:val="yellow"/>
        </w:rPr>
        <w:t xml:space="preserve">long-term vs long term (as adj/adv)</w:t>
      </w:r>
    </w:p>
    <w:p>
      <w:pPr>
        <w:pStyle w:val="ListParagraph"/>
        <w:numPr>
          <w:ilvl w:val="0"/>
          <w:numId w:val="2"/>
        </w:numPr>
        <w:spacing w:after="60"/>
      </w:pPr>
      <w:r>
        <w:rPr>
          <w:highlight w:val="yellow"/>
          <w:highlightCs w:val="yellow"/>
        </w:rPr>
        <w:t xml:space="preserve">co-morbidity vs comorbidity</w:t>
      </w:r>
    </w:p>
    <w:p>
      <w:pPr>
        <w:pStyle w:val="ListParagraph"/>
        <w:numPr>
          <w:ilvl w:val="0"/>
          <w:numId w:val="2"/>
        </w:numPr>
        <w:spacing w:after="60"/>
      </w:pPr>
      <w:r>
        <w:rPr>
          <w:highlight w:val="yellow"/>
          <w:highlightCs w:val="yellow"/>
        </w:rPr>
        <w:t xml:space="preserve">on-label / off-label — usually hyphenated. Confirm.</w:t>
      </w:r>
    </w:p>
    <w:p>
      <w:pPr>
        <w:pStyle w:val="ListParagraph"/>
        <w:numPr>
          <w:ilvl w:val="0"/>
          <w:numId w:val="2"/>
        </w:numPr>
        <w:spacing w:after="60"/>
      </w:pPr>
      <w:r>
        <w:rPr>
          <w:highlight w:val="yellow"/>
          <w:highlightCs w:val="yellow"/>
        </w:rPr>
        <w:t xml:space="preserve">GP vs general practitioner (when to spell out)</w:t>
      </w:r>
    </w:p>
    <w:p>
      <w:pPr>
        <w:pStyle w:val="ListParagraph"/>
        <w:numPr>
          <w:ilvl w:val="0"/>
          <w:numId w:val="2"/>
        </w:numPr>
        <w:spacing w:after="60"/>
      </w:pPr>
      <w:r>
        <w:rPr>
          <w:highlight w:val="yellow"/>
          <w:highlightCs w:val="yellow"/>
        </w:rPr>
        <w:t xml:space="preserve">consumer vs patient (in patient-facing copy)</w:t>
      </w:r>
    </w:p>
    <w:p>
      <w:pPr>
        <w:spacing w:after="120"/>
      </w:pPr>
      <w:r>
        <w:rPr>
          <w:highlight w:val="yellow"/>
          <w:highlightCs w:val="yellow"/>
        </w:rPr>
        <w:t xml:space="preserve">Team to add any therapeutic-area-specific terms that need a house ruling.</w:t>
      </w:r>
    </w:p>
    <w:p>
      <w:pPr>
        <w:pStyle w:val="Heading2"/>
        <w:spacing w:after="120" w:before="280"/>
      </w:pPr>
      <w:r>
        <w:t xml:space="preserve">Reference citations, qualifiers and footnotes (in-text)</w:t>
      </w:r>
    </w:p>
    <w:p>
      <w:pPr>
        <w:spacing w:after="120"/>
      </w:pPr>
      <w:r>
        <w:t xml:space="preserve">For full citation/reference formatting (Endnote and manual styles for journals, books, posters, websites, etc.), see the companion document Ward6 References Style. The rules below cover only how citations, qualifiers and footnote symbols appear in-text.</w:t>
      </w:r>
    </w:p>
    <w:p>
      <w:pPr>
        <w:pStyle w:val="ListParagraph"/>
        <w:numPr>
          <w:ilvl w:val="0"/>
          <w:numId w:val="2"/>
        </w:numPr>
        <w:spacing w:after="60"/>
      </w:pPr>
      <w:r>
        <w:t xml:space="preserve">Place any qualifier/footnote symbol after the full stop at the end of the sentence and before any reference citations. Qualifier statements must appear close to (generally directly underneath) the statement being qualified, e.g.</w:t>
      </w:r>
    </w:p>
    <w:p>
      <w:pPr>
        <w:spacing w:after="120"/>
      </w:pPr>
      <w:r>
        <w:t xml:space="preserve">    Improves lung capacity*</w:t>
      </w:r>
      <w:r>
        <w:rPr>
          <w:vertAlign w:val="superscript"/>
        </w:rPr>
        <w:t xml:space="preserve">1</w:t>
      </w:r>
    </w:p>
    <w:p>
      <w:pPr>
        <w:spacing w:after="120"/>
      </w:pPr>
      <w:r>
        <w:t xml:space="preserve">    *Peak FEV</w:t>
      </w:r>
      <w:r>
        <w:rPr>
          <w:vertAlign w:val="subscript"/>
        </w:rPr>
        <w:t xml:space="preserve">1</w:t>
      </w:r>
      <w:r>
        <w:t xml:space="preserve"> 156 mL, </w:t>
      </w:r>
      <w:r>
        <w:rPr>
          <w:i/>
          <w:iCs/>
        </w:rPr>
        <w:t xml:space="preserve">p</w:t>
      </w:r>
      <w:r>
        <w:t xml:space="preserve"> &lt;0.001 vs placebo</w:t>
      </w:r>
    </w:p>
    <w:p>
      <w:pPr>
        <w:pStyle w:val="ListParagraph"/>
        <w:numPr>
          <w:ilvl w:val="0"/>
          <w:numId w:val="2"/>
        </w:numPr>
        <w:spacing w:after="60"/>
      </w:pPr>
      <w:r>
        <w:t xml:space="preserve">Refer to Medicines Australia Code of Conduct for further information on qualifiers (and see Ward6 Compliance &amp; Regulatory Framing).</w:t>
      </w:r>
    </w:p>
    <w:p>
      <w:pPr>
        <w:pStyle w:val="ListParagraph"/>
        <w:numPr>
          <w:ilvl w:val="0"/>
          <w:numId w:val="2"/>
        </w:numPr>
        <w:spacing w:after="60"/>
      </w:pPr>
      <w:r>
        <w:t xml:space="preserve">The order of footnote symbols should be: *, †, ‡, §, ¶, #, ¥, ** (repeated), †† (repeated), and so on.</w:t>
      </w:r>
    </w:p>
    <w:p>
      <w:pPr>
        <w:pStyle w:val="ListParagraph"/>
        <w:numPr>
          <w:ilvl w:val="0"/>
          <w:numId w:val="2"/>
        </w:numPr>
        <w:spacing w:after="60"/>
      </w:pPr>
      <w:r>
        <w:t xml:space="preserve">Footnotes should appear at the bottom of the page where they are cited.</w:t>
      </w:r>
    </w:p>
    <w:p>
      <w:pPr>
        <w:pStyle w:val="ListParagraph"/>
        <w:numPr>
          <w:ilvl w:val="0"/>
          <w:numId w:val="2"/>
        </w:numPr>
        <w:spacing w:after="60"/>
      </w:pPr>
      <w:r>
        <w:t xml:space="preserve">Start afresh from * for each new page in a multipage document.</w:t>
      </w:r>
    </w:p>
    <w:p>
      <w:pPr>
        <w:pStyle w:val="ListParagraph"/>
        <w:numPr>
          <w:ilvl w:val="0"/>
          <w:numId w:val="2"/>
        </w:numPr>
        <w:spacing w:after="60"/>
      </w:pPr>
      <w:r>
        <w:t xml:space="preserve">If more than one footnote or qualifier, separate with a full stop, e.g.</w:t>
      </w:r>
    </w:p>
    <w:p>
      <w:pPr>
        <w:spacing w:after="120"/>
      </w:pPr>
      <w:r>
        <w:t xml:space="preserve">    †Intention-to-treat population. ‡</w:t>
      </w:r>
      <w:r>
        <w:rPr>
          <w:i/>
          <w:iCs/>
        </w:rPr>
        <w:t xml:space="preserve">p</w:t>
      </w:r>
      <w:r>
        <w:t xml:space="preserve"> &lt;0.001</w:t>
      </w:r>
    </w:p>
    <w:p>
      <w:pPr>
        <w:pStyle w:val="Heading2"/>
        <w:spacing w:after="120" w:before="280"/>
      </w:pPr>
      <w:r>
        <w:t xml:space="preserve">Trade names</w:t>
      </w:r>
    </w:p>
    <w:p>
      <w:pPr>
        <w:pStyle w:val="ListParagraph"/>
        <w:numPr>
          <w:ilvl w:val="0"/>
          <w:numId w:val="2"/>
        </w:numPr>
        <w:spacing w:after="60"/>
      </w:pPr>
      <w:r>
        <w:t xml:space="preserve">Follow brand guidelines, if available.</w:t>
      </w:r>
    </w:p>
    <w:p>
      <w:pPr>
        <w:pStyle w:val="ListParagraph"/>
        <w:numPr>
          <w:ilvl w:val="0"/>
          <w:numId w:val="2"/>
        </w:numPr>
        <w:spacing w:after="60"/>
      </w:pPr>
      <w:r>
        <w:t xml:space="preserve">Brands (trade names) always start with a capital, generic names are all lower case. Some brands use all caps — refer to brand guidelines.</w:t>
      </w:r>
    </w:p>
    <w:p>
      <w:pPr>
        <w:pStyle w:val="ListParagraph"/>
        <w:numPr>
          <w:ilvl w:val="0"/>
          <w:numId w:val="2"/>
        </w:numPr>
        <w:spacing w:after="60"/>
      </w:pPr>
      <w:r>
        <w:t xml:space="preserve">In general, use the ™ or the ® symbol for the first mention of a trade name only.</w:t>
      </w:r>
    </w:p>
    <w:p>
      <w:pPr>
        <w:pStyle w:val="Heading2"/>
        <w:spacing w:after="120" w:before="280"/>
      </w:pPr>
      <w:r>
        <w:t xml:space="preserve">Graphs</w:t>
      </w:r>
    </w:p>
    <w:p>
      <w:pPr>
        <w:spacing w:after="120"/>
      </w:pPr>
      <w:r>
        <w:t xml:space="preserve">Always include:</w:t>
      </w:r>
    </w:p>
    <w:p>
      <w:pPr>
        <w:pStyle w:val="ListParagraph"/>
        <w:numPr>
          <w:ilvl w:val="0"/>
          <w:numId w:val="2"/>
        </w:numPr>
        <w:spacing w:after="60"/>
      </w:pPr>
      <w:r>
        <w:t xml:space="preserve">Header, clearly stating what the graph shows (claims can be incorporated into a heading).</w:t>
      </w:r>
    </w:p>
    <w:p>
      <w:pPr>
        <w:pStyle w:val="ListParagraph"/>
        <w:numPr>
          <w:ilvl w:val="0"/>
          <w:numId w:val="2"/>
        </w:numPr>
        <w:spacing w:after="60"/>
      </w:pPr>
      <w:r>
        <w:t xml:space="preserve">Key/legend specifying treatments (and dose if relevant).</w:t>
      </w:r>
    </w:p>
    <w:p>
      <w:pPr>
        <w:pStyle w:val="ListParagraph"/>
        <w:numPr>
          <w:ilvl w:val="0"/>
          <w:numId w:val="2"/>
        </w:numPr>
        <w:spacing w:after="60"/>
      </w:pPr>
      <w:r>
        <w:t xml:space="preserve">Number of patients.</w:t>
      </w:r>
    </w:p>
    <w:p>
      <w:pPr>
        <w:pStyle w:val="ListParagraph"/>
        <w:numPr>
          <w:ilvl w:val="0"/>
          <w:numId w:val="2"/>
        </w:numPr>
        <w:spacing w:after="60"/>
      </w:pPr>
      <w:r>
        <w:t xml:space="preserve">Adapted from [Author surname] </w:t>
      </w:r>
      <w:r>
        <w:rPr>
          <w:i/>
          <w:iCs/>
        </w:rPr>
        <w:t xml:space="preserve">et al.</w:t>
      </w:r>
      <w:r>
        <w:t xml:space="preserve"> [publication year].[reference citation]</w:t>
      </w:r>
    </w:p>
    <w:p>
      <w:pPr>
        <w:pStyle w:val="ListParagraph"/>
        <w:numPr>
          <w:ilvl w:val="0"/>
          <w:numId w:val="2"/>
        </w:numPr>
        <w:spacing w:after="60"/>
      </w:pPr>
      <w:r>
        <w:t xml:space="preserve">If the graph is showing a secondary endpoint, the primary endpoint must be mentioned elsewhere in the piece or included as a footnote.</w:t>
      </w:r>
    </w:p>
    <w:p>
      <w:pPr>
        <w:pStyle w:val="Heading2"/>
        <w:spacing w:after="120" w:before="280"/>
      </w:pPr>
      <w:r>
        <w:rPr>
          <w:highlight w:val="yellow"/>
          <w:highlightCs w:val="yellow"/>
        </w:rPr>
        <w:t xml:space="preserve">[PROPOSED] Phrases and clichés to avoid</w:t>
      </w:r>
    </w:p>
    <w:p>
      <w:pPr>
        <w:spacing w:after="120"/>
      </w:pPr>
      <w:r>
        <w:rPr>
          <w:highlight w:val="yellow"/>
          <w:highlightCs w:val="yellow"/>
        </w:rPr>
        <w:t xml:space="preserve">Pharma marketing has a recognisable register that the Voice &amp; Tone document explicitly pushes against. A banned-phrase list makes that concrete here. Starter list — team to confirm or extend:</w:t>
      </w:r>
    </w:p>
    <w:p>
      <w:pPr>
        <w:spacing w:after="120"/>
      </w:pPr>
      <w:r>
        <w:rPr>
          <w:highlight w:val="yellow"/>
          <w:highlightCs w:val="yellow"/>
        </w:rPr>
        <w:t xml:space="preserve">Marketing puff:</w:t>
      </w:r>
    </w:p>
    <w:p>
      <w:pPr>
        <w:pStyle w:val="ListParagraph"/>
        <w:numPr>
          <w:ilvl w:val="0"/>
          <w:numId w:val="2"/>
        </w:numPr>
        <w:spacing w:after="60"/>
      </w:pPr>
      <w:r>
        <w:rPr>
          <w:highlight w:val="yellow"/>
          <w:highlightCs w:val="yellow"/>
        </w:rPr>
        <w:t xml:space="preserve">“revolutionary”, “game-changing”, “next-generation”, “breakthrough”, “paradigm shift”, “world-class”, “best-in-class”</w:t>
      </w:r>
    </w:p>
    <w:p>
      <w:pPr>
        <w:pStyle w:val="ListParagraph"/>
        <w:numPr>
          <w:ilvl w:val="0"/>
          <w:numId w:val="2"/>
        </w:numPr>
        <w:spacing w:after="60"/>
      </w:pPr>
      <w:r>
        <w:rPr>
          <w:highlight w:val="yellow"/>
          <w:highlightCs w:val="yellow"/>
        </w:rPr>
        <w:t xml:space="preserve">“cutting-edge”, “state-of-the-art”, “innovative” (without specifying what is innovative)</w:t>
      </w:r>
    </w:p>
    <w:p>
      <w:pPr>
        <w:pStyle w:val="ListParagraph"/>
        <w:numPr>
          <w:ilvl w:val="0"/>
          <w:numId w:val="2"/>
        </w:numPr>
        <w:spacing w:after="60"/>
      </w:pPr>
      <w:r>
        <w:rPr>
          <w:highlight w:val="yellow"/>
          <w:highlightCs w:val="yellow"/>
        </w:rPr>
        <w:t xml:space="preserve">“unique” (rarely true; usually means “novel” or “differentiated”)</w:t>
      </w:r>
    </w:p>
    <w:p>
      <w:pPr>
        <w:spacing w:after="120"/>
      </w:pPr>
      <w:r>
        <w:rPr>
          <w:highlight w:val="yellow"/>
          <w:highlightCs w:val="yellow"/>
        </w:rPr>
        <w:t xml:space="preserve">Vague intensifiers:</w:t>
      </w:r>
    </w:p>
    <w:p>
      <w:pPr>
        <w:pStyle w:val="ListParagraph"/>
        <w:numPr>
          <w:ilvl w:val="0"/>
          <w:numId w:val="2"/>
        </w:numPr>
        <w:spacing w:after="60"/>
      </w:pPr>
      <w:r>
        <w:rPr>
          <w:highlight w:val="yellow"/>
          <w:highlightCs w:val="yellow"/>
        </w:rPr>
        <w:t xml:space="preserve">“significantly” (without statistics)</w:t>
      </w:r>
    </w:p>
    <w:p>
      <w:pPr>
        <w:pStyle w:val="ListParagraph"/>
        <w:numPr>
          <w:ilvl w:val="0"/>
          <w:numId w:val="2"/>
        </w:numPr>
        <w:spacing w:after="60"/>
      </w:pPr>
      <w:r>
        <w:rPr>
          <w:highlight w:val="yellow"/>
          <w:highlightCs w:val="yellow"/>
        </w:rPr>
        <w:t xml:space="preserve">“dramatically”, “substantially”, “markedly” (unless backed by a number)</w:t>
      </w:r>
    </w:p>
    <w:p>
      <w:pPr>
        <w:spacing w:after="120"/>
      </w:pPr>
      <w:r>
        <w:rPr>
          <w:highlight w:val="yellow"/>
          <w:highlightCs w:val="yellow"/>
        </w:rPr>
        <w:t xml:space="preserve">Patient-language tics:</w:t>
      </w:r>
    </w:p>
    <w:p>
      <w:pPr>
        <w:pStyle w:val="ListParagraph"/>
        <w:numPr>
          <w:ilvl w:val="0"/>
          <w:numId w:val="2"/>
        </w:numPr>
        <w:spacing w:after="60"/>
      </w:pPr>
      <w:r>
        <w:rPr>
          <w:highlight w:val="yellow"/>
          <w:highlightCs w:val="yellow"/>
        </w:rPr>
        <w:t xml:space="preserve">“suffering from” / “sufferer” — use “living with” or “has”</w:t>
      </w:r>
    </w:p>
    <w:p>
      <w:pPr>
        <w:pStyle w:val="ListParagraph"/>
        <w:numPr>
          <w:ilvl w:val="0"/>
          <w:numId w:val="2"/>
        </w:numPr>
        <w:spacing w:after="60"/>
      </w:pPr>
      <w:r>
        <w:rPr>
          <w:highlight w:val="yellow"/>
          <w:highlightCs w:val="yellow"/>
        </w:rPr>
        <w:t xml:space="preserve">“battle”, “fight”, “warrior” framing for chronic illness — use only when the patient/source has used it themselves</w:t>
      </w:r>
    </w:p>
    <w:p>
      <w:pPr>
        <w:pStyle w:val="ListParagraph"/>
        <w:numPr>
          <w:ilvl w:val="0"/>
          <w:numId w:val="2"/>
        </w:numPr>
        <w:spacing w:after="60"/>
      </w:pPr>
      <w:r>
        <w:rPr>
          <w:highlight w:val="yellow"/>
          <w:highlightCs w:val="yellow"/>
        </w:rPr>
        <w:t xml:space="preserve">“the patient journey” — overused; consider “the patient experience” or describe the actual stages</w:t>
      </w:r>
    </w:p>
    <w:p>
      <w:pPr>
        <w:spacing w:after="120"/>
      </w:pPr>
      <w:r>
        <w:rPr>
          <w:highlight w:val="yellow"/>
          <w:highlightCs w:val="yellow"/>
        </w:rPr>
        <w:t xml:space="preserve">Medical-writing tics:</w:t>
      </w:r>
    </w:p>
    <w:p>
      <w:pPr>
        <w:pStyle w:val="ListParagraph"/>
        <w:numPr>
          <w:ilvl w:val="0"/>
          <w:numId w:val="2"/>
        </w:numPr>
        <w:spacing w:after="60"/>
      </w:pPr>
      <w:r>
        <w:rPr>
          <w:highlight w:val="yellow"/>
          <w:highlightCs w:val="yellow"/>
        </w:rPr>
        <w:t xml:space="preserve">“It is well known that…” — if it’s well known, you don’t need the phrase</w:t>
      </w:r>
    </w:p>
    <w:p>
      <w:pPr>
        <w:pStyle w:val="ListParagraph"/>
        <w:numPr>
          <w:ilvl w:val="0"/>
          <w:numId w:val="2"/>
        </w:numPr>
        <w:spacing w:after="60"/>
      </w:pPr>
      <w:r>
        <w:rPr>
          <w:highlight w:val="yellow"/>
          <w:highlightCs w:val="yellow"/>
        </w:rPr>
        <w:t xml:space="preserve">“In conclusion” — let the conclusion be the conclusion</w:t>
      </w:r>
    </w:p>
    <w:p>
      <w:pPr>
        <w:pStyle w:val="ListParagraph"/>
        <w:numPr>
          <w:ilvl w:val="0"/>
          <w:numId w:val="2"/>
        </w:numPr>
        <w:spacing w:after="60"/>
      </w:pPr>
      <w:r>
        <w:rPr>
          <w:highlight w:val="yellow"/>
          <w:highlightCs w:val="yellow"/>
        </w:rPr>
        <w:t xml:space="preserve">“It should be noted that” — note it without the preamble</w:t>
      </w:r>
    </w:p>
    <w:p>
      <w:pPr>
        <w:pStyle w:val="Heading1"/>
        <w:spacing w:after="180" w:before="360"/>
      </w:pPr>
      <w:r>
        <w:t xml:space="preserve">Punctuation</w:t>
      </w:r>
    </w:p>
    <w:p>
      <w:pPr>
        <w:pStyle w:val="Heading2"/>
        <w:spacing w:after="120" w:before="280"/>
      </w:pPr>
      <w:r>
        <w:t xml:space="preserve">Abbreviations</w:t>
      </w:r>
    </w:p>
    <w:p>
      <w:pPr>
        <w:pStyle w:val="ListParagraph"/>
        <w:numPr>
          <w:ilvl w:val="0"/>
          <w:numId w:val="2"/>
        </w:numPr>
        <w:spacing w:after="60"/>
      </w:pPr>
      <w:r>
        <w:t xml:space="preserve">Identify abbreviations in the text or as a footnote, depending on brand guidelines.</w:t>
      </w:r>
    </w:p>
    <w:p>
      <w:pPr>
        <w:pStyle w:val="ListParagraph"/>
        <w:numPr>
          <w:ilvl w:val="0"/>
          <w:numId w:val="2"/>
        </w:numPr>
        <w:spacing w:after="60"/>
      </w:pPr>
      <w:r>
        <w:t xml:space="preserve">Write phrase out in full for first appearance in text, with abbreviation in brackets afterwards, e.g. relapsing remitting multiple sclerosis (RRMS).</w:t>
      </w:r>
    </w:p>
    <w:p>
      <w:pPr>
        <w:pStyle w:val="ListParagraph"/>
        <w:numPr>
          <w:ilvl w:val="0"/>
          <w:numId w:val="2"/>
        </w:numPr>
        <w:spacing w:after="60"/>
      </w:pPr>
      <w:r>
        <w:t xml:space="preserve">List all abbreviations used in alphabetical order at the bottom of each page or at the end of a short article, using a colon after the abbreviation, a semi-colon to separate each phrase and a full stop at the end, e.g. AE: adverse event; RRMS: relapsing remitting multiple sclerosis.</w:t>
      </w:r>
    </w:p>
    <w:p>
      <w:pPr>
        <w:pStyle w:val="ListParagraph"/>
        <w:numPr>
          <w:ilvl w:val="0"/>
          <w:numId w:val="2"/>
        </w:numPr>
        <w:spacing w:after="60"/>
      </w:pPr>
      <w:r>
        <w:t xml:space="preserve">Use e.g. and i.e. (full stop after each letter). Never use ‘etc.’</w:t>
      </w:r>
    </w:p>
    <w:p>
      <w:pPr>
        <w:spacing w:after="120"/>
      </w:pPr>
      <w:r>
        <w:t xml:space="preserve">Use the following for drug doses and administration, unless specified otherwise by brand/client:</w:t>
      </w:r>
    </w:p>
    <w:p>
      <w:pPr>
        <w:pStyle w:val="ListParagraph"/>
        <w:numPr>
          <w:ilvl w:val="0"/>
          <w:numId w:val="2"/>
        </w:numPr>
        <w:spacing w:after="60"/>
      </w:pPr>
      <w:r>
        <w:t xml:space="preserve">od (once daily, no full stops)</w:t>
      </w:r>
    </w:p>
    <w:p>
      <w:pPr>
        <w:pStyle w:val="ListParagraph"/>
        <w:numPr>
          <w:ilvl w:val="0"/>
          <w:numId w:val="2"/>
        </w:numPr>
        <w:spacing w:after="60"/>
      </w:pPr>
      <w:r>
        <w:t xml:space="preserve">bd (twice daily, no full stops)</w:t>
      </w:r>
    </w:p>
    <w:p>
      <w:pPr>
        <w:pStyle w:val="ListParagraph"/>
        <w:numPr>
          <w:ilvl w:val="0"/>
          <w:numId w:val="2"/>
        </w:numPr>
        <w:spacing w:after="60"/>
      </w:pPr>
      <w:r>
        <w:t xml:space="preserve">tid (three times daily, no full stops)</w:t>
      </w:r>
    </w:p>
    <w:p>
      <w:pPr>
        <w:pStyle w:val="ListParagraph"/>
        <w:numPr>
          <w:ilvl w:val="0"/>
          <w:numId w:val="2"/>
        </w:numPr>
        <w:spacing w:after="60"/>
      </w:pPr>
      <w:r>
        <w:t xml:space="preserve">qid (four times daily, no full stops)</w:t>
      </w:r>
    </w:p>
    <w:p>
      <w:pPr>
        <w:pStyle w:val="ListParagraph"/>
        <w:numPr>
          <w:ilvl w:val="0"/>
          <w:numId w:val="2"/>
        </w:numPr>
        <w:spacing w:after="60"/>
      </w:pPr>
      <w:r>
        <w:t xml:space="preserve">iv (intravenous, lower case, no full stops)</w:t>
      </w:r>
    </w:p>
    <w:p>
      <w:pPr>
        <w:pStyle w:val="ListParagraph"/>
        <w:numPr>
          <w:ilvl w:val="0"/>
          <w:numId w:val="2"/>
        </w:numPr>
        <w:spacing w:after="60"/>
      </w:pPr>
      <w:r>
        <w:t xml:space="preserve">im (intramuscular, lower case, no full stops)</w:t>
      </w:r>
    </w:p>
    <w:p>
      <w:pPr>
        <w:pStyle w:val="ListParagraph"/>
        <w:numPr>
          <w:ilvl w:val="0"/>
          <w:numId w:val="2"/>
        </w:numPr>
        <w:spacing w:after="60"/>
      </w:pPr>
      <w:r>
        <w:t xml:space="preserve">sc (subcutaneous, lower case, no full stops)</w:t>
      </w:r>
    </w:p>
    <w:p>
      <w:pPr>
        <w:pStyle w:val="ListParagraph"/>
        <w:numPr>
          <w:ilvl w:val="0"/>
          <w:numId w:val="2"/>
        </w:numPr>
        <w:spacing w:after="60"/>
      </w:pPr>
      <w:r>
        <w:t xml:space="preserve">ip (intraperitoneal, lower case, no full stops)</w:t>
      </w:r>
    </w:p>
    <w:p>
      <w:pPr>
        <w:pStyle w:val="ListParagraph"/>
        <w:numPr>
          <w:ilvl w:val="0"/>
          <w:numId w:val="2"/>
        </w:numPr>
        <w:spacing w:after="60"/>
      </w:pPr>
      <w:r>
        <w:t xml:space="preserve">IU (international units, caps, no full stops)</w:t>
      </w:r>
    </w:p>
    <w:p>
      <w:pPr>
        <w:pStyle w:val="Heading2"/>
        <w:spacing w:after="120" w:before="280"/>
      </w:pPr>
      <w:r>
        <w:t xml:space="preserve">Brackets</w:t>
      </w:r>
    </w:p>
    <w:p>
      <w:pPr>
        <w:pStyle w:val="ListParagraph"/>
        <w:numPr>
          <w:ilvl w:val="0"/>
          <w:numId w:val="2"/>
        </w:numPr>
        <w:spacing w:after="60"/>
      </w:pPr>
      <w:r>
        <w:t xml:space="preserve">Use ([…]) if more than one set of brackets are required, e.g. 20% reduction (HR=0.80 [95%CI 0.68–0.91]).</w:t>
      </w:r>
    </w:p>
    <w:p>
      <w:pPr>
        <w:pStyle w:val="Heading2"/>
        <w:spacing w:after="120" w:before="280"/>
      </w:pPr>
      <w:r>
        <w:t xml:space="preserve">Bullet point lists</w:t>
      </w:r>
    </w:p>
    <w:p>
      <w:pPr>
        <w:spacing w:after="120"/>
      </w:pPr>
      <w:r>
        <w:t xml:space="preserve">If the bullet point list is part of a sentence or statement, each bullet point:</w:t>
      </w:r>
    </w:p>
    <w:p>
      <w:pPr>
        <w:pStyle w:val="ListParagraph"/>
        <w:numPr>
          <w:ilvl w:val="0"/>
          <w:numId w:val="2"/>
        </w:numPr>
        <w:spacing w:after="60"/>
      </w:pPr>
      <w:r>
        <w:t xml:space="preserve">Starts with a capital letter.</w:t>
      </w:r>
    </w:p>
    <w:p>
      <w:pPr>
        <w:pStyle w:val="ListParagraph"/>
        <w:numPr>
          <w:ilvl w:val="0"/>
          <w:numId w:val="2"/>
        </w:numPr>
        <w:spacing w:after="60"/>
      </w:pPr>
      <w:r>
        <w:t xml:space="preserve">Does not end with a full stop.</w:t>
      </w:r>
    </w:p>
    <w:p>
      <w:pPr>
        <w:pStyle w:val="ListParagraph"/>
        <w:numPr>
          <w:ilvl w:val="0"/>
          <w:numId w:val="2"/>
        </w:numPr>
        <w:spacing w:after="60"/>
      </w:pPr>
      <w:r>
        <w:t xml:space="preserve">Follows on from a statement ending in a colon (:).</w:t>
      </w:r>
    </w:p>
    <w:p>
      <w:pPr>
        <w:pStyle w:val="ListParagraph"/>
        <w:numPr>
          <w:ilvl w:val="0"/>
          <w:numId w:val="2"/>
        </w:numPr>
        <w:spacing w:after="60"/>
      </w:pPr>
      <w:r>
        <w:t xml:space="preserve">If the bullet point is a stand-alone statement (i.e. does not follow on from anything), do not end the bullet point with a full stop unless brand guidelines indicate otherwise or the bullet point runs to more than one sentence (avoid multi-sentence bullet points where possible).</w:t>
      </w:r>
    </w:p>
    <w:p>
      <w:pPr>
        <w:pStyle w:val="Heading2"/>
        <w:spacing w:after="120" w:before="280"/>
      </w:pPr>
      <w:r>
        <w:t xml:space="preserve">Capitals and lower case</w:t>
      </w:r>
    </w:p>
    <w:p>
      <w:pPr>
        <w:pStyle w:val="ListParagraph"/>
        <w:numPr>
          <w:ilvl w:val="0"/>
          <w:numId w:val="2"/>
        </w:numPr>
        <w:spacing w:after="60"/>
      </w:pPr>
      <w:r>
        <w:t xml:space="preserve">Use sentence case for headings and titles of journal articles. Use capitals only when they are essential, e.g. proper nouns.</w:t>
      </w:r>
    </w:p>
    <w:p>
      <w:pPr>
        <w:pStyle w:val="ListParagraph"/>
        <w:numPr>
          <w:ilvl w:val="0"/>
          <w:numId w:val="2"/>
        </w:numPr>
        <w:spacing w:after="60"/>
      </w:pPr>
      <w:r>
        <w:t xml:space="preserve">Institutions: use upper case for the name of an institution and lower case for departments, e.g. department of preventative medicine at the University of Western Australia.</w:t>
      </w:r>
    </w:p>
    <w:p>
      <w:pPr>
        <w:pStyle w:val="ListParagraph"/>
        <w:numPr>
          <w:ilvl w:val="0"/>
          <w:numId w:val="2"/>
        </w:numPr>
        <w:spacing w:after="60"/>
      </w:pPr>
      <w:r>
        <w:t xml:space="preserve">Racial groups: always upper case — Caucasian, Aboriginal, Torres Strait Islander.</w:t>
      </w:r>
    </w:p>
    <w:p>
      <w:pPr>
        <w:pStyle w:val="ListParagraph"/>
        <w:numPr>
          <w:ilvl w:val="0"/>
          <w:numId w:val="2"/>
        </w:numPr>
        <w:spacing w:after="60"/>
      </w:pPr>
      <w:r>
        <w:t xml:space="preserve">Seasons and directions: use lower case, e.g. north, summer.</w:t>
      </w:r>
    </w:p>
    <w:p>
      <w:pPr>
        <w:pStyle w:val="Heading2"/>
        <w:spacing w:after="120" w:before="280"/>
      </w:pPr>
      <w:r>
        <w:t xml:space="preserve">Dashes</w:t>
      </w:r>
    </w:p>
    <w:p>
      <w:pPr>
        <w:pStyle w:val="ListParagraph"/>
        <w:numPr>
          <w:ilvl w:val="0"/>
          <w:numId w:val="2"/>
        </w:numPr>
        <w:spacing w:after="60"/>
      </w:pPr>
      <w:r>
        <w:t xml:space="preserve">Use an en-dash ( – ) with a space either side to indicate a clause.</w:t>
      </w:r>
    </w:p>
    <w:p>
      <w:pPr>
        <w:pStyle w:val="ListParagraph"/>
        <w:numPr>
          <w:ilvl w:val="0"/>
          <w:numId w:val="2"/>
        </w:numPr>
        <w:spacing w:after="60"/>
      </w:pPr>
      <w:r>
        <w:t xml:space="preserve">Use an en-dash with no space either side to indicate ranges, e.g. patients aged 18–65 years.</w:t>
      </w:r>
    </w:p>
    <w:p>
      <w:pPr>
        <w:pStyle w:val="ListParagraph"/>
        <w:numPr>
          <w:ilvl w:val="0"/>
          <w:numId w:val="2"/>
        </w:numPr>
        <w:spacing w:after="60"/>
      </w:pPr>
      <w:r>
        <w:t xml:space="preserve">Use a hyphen ( - ) to link compound words, e.g. placebo-controlled clinical trial.</w:t>
      </w:r>
    </w:p>
    <w:p>
      <w:pPr>
        <w:pStyle w:val="ListParagraph"/>
        <w:numPr>
          <w:ilvl w:val="0"/>
          <w:numId w:val="2"/>
        </w:numPr>
        <w:spacing w:after="60"/>
      </w:pPr>
      <w:r>
        <w:t xml:space="preserve">Em-dashes ( — ) are not generally used in medical writing; use brackets instead.</w:t>
      </w:r>
    </w:p>
    <w:p>
      <w:pPr>
        <w:pStyle w:val="Heading2"/>
        <w:spacing w:after="120" w:before="280"/>
      </w:pPr>
      <w:r>
        <w:t xml:space="preserve">Ellipsis points</w:t>
      </w:r>
    </w:p>
    <w:p>
      <w:pPr>
        <w:pStyle w:val="ListParagraph"/>
        <w:numPr>
          <w:ilvl w:val="0"/>
          <w:numId w:val="2"/>
        </w:numPr>
        <w:spacing w:after="60"/>
      </w:pPr>
      <w:r>
        <w:t xml:space="preserve">Use ellipsis points (…) without spaces to indicate missing text from a direct quote, e.g. “The use of this drug…is inappropriate”.</w:t>
      </w:r>
    </w:p>
    <w:p>
      <w:pPr>
        <w:pStyle w:val="Heading2"/>
        <w:spacing w:after="120" w:before="280"/>
      </w:pPr>
      <w:r>
        <w:t xml:space="preserve">Italics</w:t>
      </w:r>
    </w:p>
    <w:p>
      <w:pPr>
        <w:pStyle w:val="ListParagraph"/>
        <w:numPr>
          <w:ilvl w:val="0"/>
          <w:numId w:val="2"/>
        </w:numPr>
        <w:spacing w:after="60"/>
      </w:pPr>
      <w:r>
        <w:t xml:space="preserve">Use italics for </w:t>
      </w:r>
      <w:r>
        <w:rPr>
          <w:i/>
          <w:iCs/>
        </w:rPr>
        <w:t xml:space="preserve">in vivo</w:t>
      </w:r>
      <w:r>
        <w:t xml:space="preserve">, </w:t>
      </w:r>
      <w:r>
        <w:rPr>
          <w:i/>
          <w:iCs/>
        </w:rPr>
        <w:t xml:space="preserve">in vitro</w:t>
      </w:r>
      <w:r>
        <w:t xml:space="preserve">, </w:t>
      </w:r>
      <w:r>
        <w:rPr>
          <w:i/>
          <w:iCs/>
        </w:rPr>
        <w:t xml:space="preserve">post hoc</w:t>
      </w:r>
      <w:r>
        <w:t xml:space="preserve"> and other Latin and foreign-language phrases.</w:t>
      </w:r>
    </w:p>
    <w:p>
      <w:pPr>
        <w:pStyle w:val="ListParagraph"/>
        <w:numPr>
          <w:ilvl w:val="0"/>
          <w:numId w:val="2"/>
        </w:numPr>
        <w:spacing w:after="60"/>
      </w:pPr>
      <w:r>
        <w:t xml:space="preserve">Use italics for </w:t>
      </w:r>
      <w:r>
        <w:rPr>
          <w:i/>
          <w:iCs/>
        </w:rPr>
        <w:t xml:space="preserve">et al.</w:t>
      </w:r>
      <w:r>
        <w:t xml:space="preserve"> and journal names or books (e.g. </w:t>
      </w:r>
      <w:r>
        <w:rPr>
          <w:i/>
          <w:iCs/>
        </w:rPr>
        <w:t xml:space="preserve">N Engl J Med</w:t>
      </w:r>
      <w:r>
        <w:t xml:space="preserve">) in references.</w:t>
      </w:r>
    </w:p>
    <w:p>
      <w:pPr>
        <w:pStyle w:val="Heading2"/>
        <w:spacing w:after="120" w:before="280"/>
      </w:pPr>
      <w:r>
        <w:t xml:space="preserve">Quotation marks</w:t>
      </w:r>
    </w:p>
    <w:p>
      <w:pPr>
        <w:pStyle w:val="ListParagraph"/>
        <w:numPr>
          <w:ilvl w:val="0"/>
          <w:numId w:val="2"/>
        </w:numPr>
        <w:spacing w:after="60"/>
      </w:pPr>
      <w:r>
        <w:t xml:space="preserve">Use double quotes for direct speech and quotes.</w:t>
      </w:r>
    </w:p>
    <w:p>
      <w:pPr>
        <w:pStyle w:val="Heading1"/>
        <w:spacing w:after="180" w:before="360"/>
      </w:pPr>
      <w:r>
        <w:t xml:space="preserve">Numbers and measurements</w:t>
      </w:r>
    </w:p>
    <w:p>
      <w:pPr>
        <w:pStyle w:val="Heading2"/>
        <w:spacing w:after="120" w:before="280"/>
      </w:pPr>
      <w:r>
        <w:t xml:space="preserve">Age</w:t>
      </w:r>
    </w:p>
    <w:p>
      <w:pPr>
        <w:pStyle w:val="ListParagraph"/>
        <w:numPr>
          <w:ilvl w:val="0"/>
          <w:numId w:val="2"/>
        </w:numPr>
        <w:spacing w:after="60"/>
      </w:pPr>
      <w:r>
        <w:t xml:space="preserve">Use hyphens if age is used as an adjective, otherwise hyphens are not required, e.g. a 10-year-old boy; 21 years old.</w:t>
      </w:r>
    </w:p>
    <w:p>
      <w:pPr>
        <w:pStyle w:val="ListParagraph"/>
        <w:numPr>
          <w:ilvl w:val="0"/>
          <w:numId w:val="2"/>
        </w:numPr>
        <w:spacing w:after="60"/>
      </w:pPr>
      <w:r>
        <w:t xml:space="preserve">Age ranges use an en-dash, e.g. aged 12–18 months.</w:t>
      </w:r>
    </w:p>
    <w:p>
      <w:pPr>
        <w:pStyle w:val="ListParagraph"/>
        <w:numPr>
          <w:ilvl w:val="0"/>
          <w:numId w:val="2"/>
        </w:numPr>
        <w:spacing w:after="60"/>
      </w:pPr>
      <w:r>
        <w:t xml:space="preserve">Always state the units of age (e.g. years, months).</w:t>
      </w:r>
    </w:p>
    <w:p>
      <w:pPr>
        <w:pStyle w:val="Heading2"/>
        <w:spacing w:after="120" w:before="280"/>
      </w:pPr>
      <w:r>
        <w:t xml:space="preserve">Clinical trial statistics</w:t>
      </w:r>
    </w:p>
    <w:p>
      <w:pPr>
        <w:pStyle w:val="ListParagraph"/>
        <w:numPr>
          <w:ilvl w:val="0"/>
          <w:numId w:val="2"/>
        </w:numPr>
        <w:spacing w:after="60"/>
      </w:pPr>
      <w:r>
        <w:t xml:space="preserve">Probability: </w:t>
      </w:r>
      <w:r>
        <w:rPr>
          <w:i/>
          <w:iCs/>
        </w:rPr>
        <w:t xml:space="preserve">p</w:t>
      </w:r>
      <w:r>
        <w:t xml:space="preserve"> always in lower case, no italics on the value.</w:t>
      </w:r>
    </w:p>
    <w:p>
      <w:pPr>
        <w:pStyle w:val="ListParagraph"/>
        <w:numPr>
          <w:ilvl w:val="0"/>
          <w:numId w:val="2"/>
        </w:numPr>
        <w:spacing w:after="60"/>
      </w:pPr>
      <w:r>
        <w:t xml:space="preserve">No space before or after “=”, e.g. </w:t>
      </w:r>
      <w:r>
        <w:rPr>
          <w:i/>
          <w:iCs/>
        </w:rPr>
        <w:t xml:space="preserve">p</w:t>
      </w:r>
      <w:r>
        <w:t xml:space="preserve">=0.001.</w:t>
      </w:r>
    </w:p>
    <w:p>
      <w:pPr>
        <w:pStyle w:val="ListParagraph"/>
        <w:numPr>
          <w:ilvl w:val="0"/>
          <w:numId w:val="2"/>
        </w:numPr>
        <w:spacing w:after="60"/>
      </w:pPr>
      <w:r>
        <w:t xml:space="preserve">Include a space before ‘&lt;’ and ‘&gt;’ symbols but no space between symbol and number, e.g. </w:t>
      </w:r>
      <w:r>
        <w:rPr>
          <w:i/>
          <w:iCs/>
        </w:rPr>
        <w:t xml:space="preserve">p</w:t>
      </w:r>
      <w:r>
        <w:t xml:space="preserve"> &lt;0.001. Use of a non-breaking space (shift+control+space) is recommended.</w:t>
      </w:r>
    </w:p>
    <w:p>
      <w:pPr>
        <w:pStyle w:val="ListParagraph"/>
        <w:numPr>
          <w:ilvl w:val="0"/>
          <w:numId w:val="2"/>
        </w:numPr>
        <w:spacing w:after="60"/>
      </w:pPr>
      <w:r>
        <w:t xml:space="preserve">Number of trial participants: </w:t>
      </w:r>
      <w:r>
        <w:rPr>
          <w:i/>
          <w:iCs/>
        </w:rPr>
        <w:t xml:space="preserve">n</w:t>
      </w:r>
      <w:r>
        <w:t xml:space="preserve"> always in lower case (not italics in the number).</w:t>
      </w:r>
    </w:p>
    <w:p>
      <w:pPr>
        <w:pStyle w:val="ListParagraph"/>
        <w:numPr>
          <w:ilvl w:val="0"/>
          <w:numId w:val="2"/>
        </w:numPr>
        <w:spacing w:after="60"/>
      </w:pPr>
      <w:r>
        <w:t xml:space="preserve">No space before or after “=”, e.g. </w:t>
      </w:r>
      <w:r>
        <w:rPr>
          <w:i/>
          <w:iCs/>
        </w:rPr>
        <w:t xml:space="preserve">n</w:t>
      </w:r>
      <w:r>
        <w:t xml:space="preserve">=236.</w:t>
      </w:r>
    </w:p>
    <w:p>
      <w:pPr>
        <w:pStyle w:val="Heading2"/>
        <w:spacing w:after="120" w:before="280"/>
      </w:pPr>
      <w:r>
        <w:t xml:space="preserve">Dates and times</w:t>
      </w:r>
    </w:p>
    <w:p>
      <w:pPr>
        <w:pStyle w:val="ListParagraph"/>
        <w:numPr>
          <w:ilvl w:val="0"/>
          <w:numId w:val="2"/>
        </w:numPr>
        <w:spacing w:after="60"/>
      </w:pPr>
      <w:r>
        <w:t xml:space="preserve">Time: use 7 pm and 7.30 pm (space between number and am/pm, lower case for am/pm, 12-hour clock, full stop to separate hours and minutes).</w:t>
      </w:r>
    </w:p>
    <w:p>
      <w:pPr>
        <w:pStyle w:val="ListParagraph"/>
        <w:numPr>
          <w:ilvl w:val="0"/>
          <w:numId w:val="2"/>
        </w:numPr>
        <w:spacing w:after="60"/>
      </w:pPr>
      <w:r>
        <w:t xml:space="preserve">Use 12 pm (for noon) and 12 am (for midnight).</w:t>
      </w:r>
    </w:p>
    <w:p>
      <w:pPr>
        <w:pStyle w:val="ListParagraph"/>
        <w:numPr>
          <w:ilvl w:val="0"/>
          <w:numId w:val="2"/>
        </w:numPr>
        <w:spacing w:after="60"/>
      </w:pPr>
      <w:r>
        <w:t xml:space="preserve">Use ‘twice weekly’/‘twice a week’ or ‘twice a month’ rather than ‘biweekly’ or ‘bimonthly’.</w:t>
      </w:r>
    </w:p>
    <w:p>
      <w:pPr>
        <w:pStyle w:val="ListParagraph"/>
        <w:numPr>
          <w:ilvl w:val="0"/>
          <w:numId w:val="2"/>
        </w:numPr>
        <w:spacing w:after="60"/>
      </w:pPr>
      <w:r>
        <w:t xml:space="preserve">For specifying a decade use ‘the 1960s’ (no apostrophe, all four digits).</w:t>
      </w:r>
    </w:p>
    <w:p>
      <w:pPr>
        <w:pStyle w:val="ListParagraph"/>
        <w:numPr>
          <w:ilvl w:val="0"/>
          <w:numId w:val="2"/>
        </w:numPr>
        <w:spacing w:after="60"/>
      </w:pPr>
      <w:r>
        <w:t xml:space="preserve">For date ranges use an en-dash and include all digits, e.g. 1995–1996.</w:t>
      </w:r>
    </w:p>
    <w:p>
      <w:pPr>
        <w:pStyle w:val="Heading3"/>
        <w:spacing w:after="80" w:before="200"/>
      </w:pPr>
      <w:r>
        <w:rPr>
          <w:highlight w:val="yellow"/>
          <w:highlightCs w:val="yellow"/>
        </w:rPr>
        <w:t xml:space="preserve">[PROPOSED] Full date format</w:t>
      </w:r>
    </w:p>
    <w:p>
      <w:pPr>
        <w:pStyle w:val="ListParagraph"/>
        <w:numPr>
          <w:ilvl w:val="0"/>
          <w:numId w:val="2"/>
        </w:numPr>
        <w:spacing w:after="60"/>
      </w:pPr>
      <w:r>
        <w:rPr>
          <w:highlight w:val="yellow"/>
          <w:highlightCs w:val="yellow"/>
        </w:rPr>
        <w:t xml:space="preserve">In running copy: 5 May 2026 (no comma, no ordinal, day before month).</w:t>
      </w:r>
    </w:p>
    <w:p>
      <w:pPr>
        <w:pStyle w:val="ListParagraph"/>
        <w:numPr>
          <w:ilvl w:val="0"/>
          <w:numId w:val="2"/>
        </w:numPr>
        <w:spacing w:after="60"/>
      </w:pPr>
      <w:r>
        <w:rPr>
          <w:highlight w:val="yellow"/>
          <w:highlightCs w:val="yellow"/>
        </w:rPr>
        <w:t xml:space="preserve">Never use 5/5/26 in copy. In file names follow the production workflow convention (YYMMDD).</w:t>
      </w:r>
    </w:p>
    <w:p>
      <w:pPr>
        <w:pStyle w:val="ListParagraph"/>
        <w:numPr>
          <w:ilvl w:val="0"/>
          <w:numId w:val="2"/>
        </w:numPr>
        <w:spacing w:after="60"/>
      </w:pPr>
      <w:r>
        <w:rPr>
          <w:highlight w:val="yellow"/>
          <w:highlightCs w:val="yellow"/>
        </w:rPr>
        <w:t xml:space="preserve">At sentence start: spell out month and year if practical; otherwise reword to avoid leading with a numeral.</w:t>
      </w:r>
    </w:p>
    <w:p>
      <w:pPr>
        <w:pStyle w:val="Heading2"/>
        <w:spacing w:after="120" w:before="280"/>
      </w:pPr>
      <w:r>
        <w:t xml:space="preserve">Measurements</w:t>
      </w:r>
    </w:p>
    <w:p>
      <w:pPr>
        <w:pStyle w:val="ListParagraph"/>
        <w:numPr>
          <w:ilvl w:val="0"/>
          <w:numId w:val="2"/>
        </w:numPr>
        <w:spacing w:after="60"/>
      </w:pPr>
      <w:r>
        <w:t xml:space="preserve">Convert all measurements from imperial to metric. Use SI Units where possible.</w:t>
      </w:r>
    </w:p>
    <w:p>
      <w:pPr>
        <w:pStyle w:val="ListParagraph"/>
        <w:numPr>
          <w:ilvl w:val="0"/>
          <w:numId w:val="2"/>
        </w:numPr>
        <w:spacing w:after="60"/>
      </w:pPr>
      <w:r>
        <w:t xml:space="preserve">Include a space after the number/before the unit abbreviation, e.g. 0.5 mmol/L. Exceptions are % and °C, which are closed up. Use a non-breaking space (shift+control+space).</w:t>
      </w:r>
    </w:p>
    <w:p>
      <w:pPr>
        <w:pStyle w:val="ListParagraph"/>
        <w:numPr>
          <w:ilvl w:val="0"/>
          <w:numId w:val="2"/>
        </w:numPr>
        <w:spacing w:after="60"/>
      </w:pPr>
      <w:r>
        <w:t xml:space="preserve">37°C (use degree symbol).</w:t>
      </w:r>
    </w:p>
    <w:p>
      <w:pPr>
        <w:pStyle w:val="ListParagraph"/>
        <w:numPr>
          <w:ilvl w:val="0"/>
          <w:numId w:val="2"/>
        </w:numPr>
        <w:spacing w:after="60"/>
      </w:pPr>
      <w:r>
        <w:t xml:space="preserve">50 mL (L in mL is always capitalised).</w:t>
      </w:r>
    </w:p>
    <w:p>
      <w:pPr>
        <w:pStyle w:val="ListParagraph"/>
        <w:numPr>
          <w:ilvl w:val="0"/>
          <w:numId w:val="2"/>
        </w:numPr>
        <w:spacing w:after="60"/>
      </w:pPr>
      <w:r>
        <w:t xml:space="preserve">5 L and 5 mL (always use capital L for litre).</w:t>
      </w:r>
    </w:p>
    <w:p>
      <w:pPr>
        <w:pStyle w:val="ListParagraph"/>
        <w:numPr>
          <w:ilvl w:val="0"/>
          <w:numId w:val="2"/>
        </w:numPr>
        <w:spacing w:after="60"/>
      </w:pPr>
      <w:r>
        <w:t xml:space="preserve">7.5 kg (lower case).</w:t>
      </w:r>
    </w:p>
    <w:p>
      <w:pPr>
        <w:pStyle w:val="ListParagraph"/>
        <w:numPr>
          <w:ilvl w:val="0"/>
          <w:numId w:val="2"/>
        </w:numPr>
        <w:spacing w:after="60"/>
      </w:pPr>
      <w:r>
        <w:t xml:space="preserve">10 cm (lower case).</w:t>
      </w:r>
    </w:p>
    <w:p>
      <w:pPr>
        <w:pStyle w:val="ListParagraph"/>
        <w:numPr>
          <w:ilvl w:val="0"/>
          <w:numId w:val="2"/>
        </w:numPr>
        <w:spacing w:after="60"/>
      </w:pPr>
      <w:r>
        <w:t xml:space="preserve">140 mmHg (no space between mm and Hg).</w:t>
      </w:r>
    </w:p>
    <w:p>
      <w:pPr>
        <w:pStyle w:val="Heading2"/>
        <w:spacing w:after="120" w:before="280"/>
      </w:pPr>
      <w:r>
        <w:t xml:space="preserve">Numbers</w:t>
      </w:r>
    </w:p>
    <w:p>
      <w:pPr>
        <w:pStyle w:val="ListParagraph"/>
        <w:numPr>
          <w:ilvl w:val="0"/>
          <w:numId w:val="2"/>
        </w:numPr>
        <w:spacing w:after="60"/>
      </w:pPr>
      <w:r>
        <w:t xml:space="preserve">Write one to nine in words, 10 or more in digits (except when giving a range, e.g. 3–5 times, or a quantity of a unit, e.g. 5 mL).</w:t>
      </w:r>
    </w:p>
    <w:p>
      <w:pPr>
        <w:pStyle w:val="ListParagraph"/>
        <w:numPr>
          <w:ilvl w:val="0"/>
          <w:numId w:val="2"/>
        </w:numPr>
        <w:spacing w:after="60"/>
      </w:pPr>
      <w:r>
        <w:t xml:space="preserve">Hyphenate two-fold, three-fold etc.</w:t>
      </w:r>
    </w:p>
    <w:p>
      <w:pPr>
        <w:pStyle w:val="ListParagraph"/>
        <w:numPr>
          <w:ilvl w:val="0"/>
          <w:numId w:val="2"/>
        </w:numPr>
        <w:spacing w:after="60"/>
      </w:pPr>
      <w:r>
        <w:t xml:space="preserve">Use commas in numbers of five or more digits, i.e. 1000, 10,000.</w:t>
      </w:r>
    </w:p>
    <w:p>
      <w:pPr>
        <w:pStyle w:val="Heading3"/>
        <w:spacing w:after="80" w:before="200"/>
      </w:pPr>
      <w:r>
        <w:rPr>
          <w:highlight w:val="yellow"/>
          <w:highlightCs w:val="yellow"/>
        </w:rPr>
        <w:t xml:space="preserve">[PROPOSED] Number edge cases</w:t>
      </w:r>
    </w:p>
    <w:p>
      <w:pPr>
        <w:pStyle w:val="ListParagraph"/>
        <w:numPr>
          <w:ilvl w:val="0"/>
          <w:numId w:val="2"/>
        </w:numPr>
        <w:spacing w:after="60"/>
      </w:pPr>
      <w:r>
        <w:rPr>
          <w:highlight w:val="yellow"/>
          <w:highlightCs w:val="yellow"/>
        </w:rPr>
        <w:t xml:space="preserve">At sentence start: spell out (“Twelve patients…”) or reword. Never start a sentence with a numeral.</w:t>
      </w:r>
    </w:p>
    <w:p>
      <w:pPr>
        <w:pStyle w:val="ListParagraph"/>
        <w:numPr>
          <w:ilvl w:val="0"/>
          <w:numId w:val="2"/>
        </w:numPr>
        <w:spacing w:after="60"/>
      </w:pPr>
      <w:r>
        <w:rPr>
          <w:highlight w:val="yellow"/>
          <w:highlightCs w:val="yellow"/>
        </w:rPr>
        <w:t xml:space="preserve">Percentages: digits + % closed up, e.g. 25%. In running copy spell out “percent” only when avoiding the symbol reads more naturally.</w:t>
      </w:r>
    </w:p>
    <w:p>
      <w:pPr>
        <w:pStyle w:val="ListParagraph"/>
        <w:numPr>
          <w:ilvl w:val="0"/>
          <w:numId w:val="2"/>
        </w:numPr>
        <w:spacing w:after="60"/>
      </w:pPr>
      <w:r>
        <w:rPr>
          <w:highlight w:val="yellow"/>
          <w:highlightCs w:val="yellow"/>
        </w:rPr>
        <w:t xml:space="preserve">Percentage ranges: use en-dash, both numbers retain unit when ambiguity is possible, e.g. 25%–30% (or 25–30% if no ambiguity).</w:t>
      </w:r>
    </w:p>
    <w:p>
      <w:pPr>
        <w:pStyle w:val="ListParagraph"/>
        <w:numPr>
          <w:ilvl w:val="0"/>
          <w:numId w:val="2"/>
        </w:numPr>
        <w:spacing w:after="60"/>
      </w:pPr>
      <w:r>
        <w:rPr>
          <w:highlight w:val="yellow"/>
          <w:highlightCs w:val="yellow"/>
        </w:rPr>
        <w:t xml:space="preserve">Ordinals: 1st, 2nd, 3rd in copy; “first”, “second”, “third” in running prose if it reads more naturally.</w:t>
      </w:r>
    </w:p>
    <w:p>
      <w:pPr>
        <w:pStyle w:val="ListParagraph"/>
        <w:numPr>
          <w:ilvl w:val="0"/>
          <w:numId w:val="2"/>
        </w:numPr>
        <w:spacing w:after="60"/>
      </w:pPr>
      <w:r>
        <w:rPr>
          <w:highlight w:val="yellow"/>
          <w:highlightCs w:val="yellow"/>
        </w:rPr>
        <w:t xml:space="preserve">Decimals: lead with a zero (0.5, not .5).</w:t>
      </w:r>
    </w:p>
    <w:p>
      <w:pPr>
        <w:pStyle w:val="ListParagraph"/>
        <w:numPr>
          <w:ilvl w:val="0"/>
          <w:numId w:val="2"/>
        </w:numPr>
        <w:spacing w:after="60"/>
      </w:pPr>
      <w:r>
        <w:rPr>
          <w:highlight w:val="yellow"/>
          <w:highlightCs w:val="yellow"/>
        </w:rPr>
        <w:t xml:space="preserve">Large round numbers: “2 million”, not 2,000,000, in running copy.</w:t>
      </w:r>
    </w:p>
    <w:p>
      <w:pPr>
        <w:pStyle w:val="Heading1"/>
        <w:spacing w:after="180" w:before="360"/>
      </w:pPr>
      <w:r>
        <w:t xml:space="preserve">Other</w:t>
      </w:r>
    </w:p>
    <w:p>
      <w:pPr>
        <w:pStyle w:val="Heading2"/>
        <w:spacing w:after="120" w:before="280"/>
      </w:pPr>
      <w:r>
        <w:t xml:space="preserve">Classification of species</w:t>
      </w:r>
    </w:p>
    <w:p>
      <w:pPr>
        <w:pStyle w:val="ListParagraph"/>
        <w:numPr>
          <w:ilvl w:val="0"/>
          <w:numId w:val="2"/>
        </w:numPr>
        <w:spacing w:after="60"/>
      </w:pPr>
      <w:r>
        <w:t xml:space="preserve">Write out species names in full for the first mention then use abbreviated form for subsequent mentions (e.g. </w:t>
      </w:r>
      <w:r>
        <w:rPr>
          <w:i/>
          <w:iCs/>
        </w:rPr>
        <w:t xml:space="preserve">Escherichia coli</w:t>
      </w:r>
      <w:r>
        <w:t xml:space="preserve"> then </w:t>
      </w:r>
      <w:r>
        <w:rPr>
          <w:i/>
          <w:iCs/>
        </w:rPr>
        <w:t xml:space="preserve">E. coli</w:t>
      </w:r>
      <w:r>
        <w:t xml:space="preserve">).</w:t>
      </w:r>
    </w:p>
    <w:p>
      <w:pPr>
        <w:pStyle w:val="ListParagraph"/>
        <w:numPr>
          <w:ilvl w:val="0"/>
          <w:numId w:val="2"/>
        </w:numPr>
        <w:spacing w:after="60"/>
      </w:pPr>
      <w:r>
        <w:t xml:space="preserve">Use italics for species, subspecies and varieties.</w:t>
      </w:r>
    </w:p>
    <w:p>
      <w:pPr>
        <w:pStyle w:val="ListParagraph"/>
        <w:numPr>
          <w:ilvl w:val="0"/>
          <w:numId w:val="2"/>
        </w:numPr>
        <w:spacing w:after="60"/>
      </w:pPr>
      <w:r>
        <w:t xml:space="preserve">Use both italic and capitals for Genus names and full scientific names, for example, </w:t>
      </w:r>
      <w:r>
        <w:rPr>
          <w:i/>
          <w:iCs/>
        </w:rPr>
        <w:t xml:space="preserve">Escherichia coli</w:t>
      </w:r>
      <w:r>
        <w:t xml:space="preserve">.</w:t>
      </w:r>
    </w:p>
    <w:p>
      <w:pPr>
        <w:pStyle w:val="ListParagraph"/>
        <w:numPr>
          <w:ilvl w:val="0"/>
          <w:numId w:val="2"/>
        </w:numPr>
        <w:spacing w:after="60"/>
      </w:pPr>
      <w:r>
        <w:t xml:space="preserve">Phylum, Class, Order and Family names take capitals but no italics.</w:t>
      </w:r>
    </w:p>
    <w:p>
      <w:pPr>
        <w:pStyle w:val="ListParagraph"/>
        <w:numPr>
          <w:ilvl w:val="0"/>
          <w:numId w:val="2"/>
        </w:numPr>
        <w:spacing w:after="60"/>
      </w:pPr>
      <w:r>
        <w:t xml:space="preserve">Virus names are written in roman type and all lower case (they are not named according to the Linnaean system of classification), for example, herpes simplex type I.</w:t>
      </w:r>
    </w:p>
    <w:p>
      <w:pPr>
        <w:pStyle w:val="ListParagraph"/>
        <w:numPr>
          <w:ilvl w:val="0"/>
          <w:numId w:val="2"/>
        </w:numPr>
        <w:spacing w:after="60"/>
      </w:pPr>
      <w:r>
        <w:t xml:space="preserve">Abbreviations for “variety” (var.) and “species” (sp., plural spp.) are set in roman.</w:t>
      </w:r>
    </w:p>
    <w:p>
      <w:pPr>
        <w:pStyle w:val="ListParagraph"/>
        <w:numPr>
          <w:ilvl w:val="0"/>
          <w:numId w:val="2"/>
        </w:numPr>
        <w:spacing w:after="60"/>
      </w:pPr>
      <w:r>
        <w:t xml:space="preserve">Adjectival disease names are capitalised but not italicised, for example, ‘a Staphylococcal infection’.</w:t>
      </w:r>
    </w:p>
    <w:p>
      <w:pPr>
        <w:pStyle w:val="Heading2"/>
        <w:spacing w:after="120" w:before="280"/>
      </w:pPr>
      <w:r>
        <w:t xml:space="preserve">Countries and States</w:t>
      </w:r>
    </w:p>
    <w:p>
      <w:pPr>
        <w:pStyle w:val="ListParagraph"/>
        <w:numPr>
          <w:ilvl w:val="0"/>
          <w:numId w:val="2"/>
        </w:numPr>
        <w:spacing w:after="60"/>
      </w:pPr>
      <w:r>
        <w:t xml:space="preserve">Use the abbreviated forms for Australian states and territories, United States of America or United Kingdom (ACT, NSW, QLD, SA, TAS, VIC, WA, USA [not US] and UK).</w:t>
      </w:r>
    </w:p>
    <w:p>
      <w:pPr>
        <w:pStyle w:val="Heading2"/>
        <w:spacing w:after="120" w:before="280"/>
      </w:pPr>
      <w:r>
        <w:t xml:space="preserve">And, and/or, &amp;</w:t>
      </w:r>
    </w:p>
    <w:p>
      <w:pPr>
        <w:pStyle w:val="ListParagraph"/>
        <w:numPr>
          <w:ilvl w:val="0"/>
          <w:numId w:val="2"/>
        </w:numPr>
        <w:spacing w:after="60"/>
      </w:pPr>
      <w:r>
        <w:t xml:space="preserve">Use of “&amp;” or “and” should be consistent throughout documents and across all materials of a project.</w:t>
      </w:r>
    </w:p>
    <w:p>
      <w:pPr>
        <w:pStyle w:val="ListParagraph"/>
        <w:numPr>
          <w:ilvl w:val="0"/>
          <w:numId w:val="2"/>
        </w:numPr>
        <w:spacing w:after="60"/>
      </w:pPr>
      <w:r>
        <w:t xml:space="preserve">Avoid use of and/or if possible. If used, ensure there is no ambiguity about the statement.</w:t>
      </w:r>
    </w:p>
    <w:p>
      <w:pPr>
        <w:pStyle w:val="Heading2"/>
        <w:spacing w:after="120" w:before="280"/>
      </w:pPr>
      <w:r>
        <w:t xml:space="preserve">Acronyms</w:t>
      </w:r>
    </w:p>
    <w:p>
      <w:pPr>
        <w:pStyle w:val="ListParagraph"/>
        <w:numPr>
          <w:ilvl w:val="0"/>
          <w:numId w:val="2"/>
        </w:numPr>
        <w:spacing w:after="60"/>
      </w:pPr>
      <w:r>
        <w:t xml:space="preserve">Write out the phrase in full for the first mention, with the acronym in parentheses immediately afterwards. If the phrase appears once only, there is no need to cite an acronym.</w:t>
      </w:r>
    </w:p>
    <w:p>
      <w:pPr>
        <w:pStyle w:val="ListParagraph"/>
        <w:numPr>
          <w:ilvl w:val="0"/>
          <w:numId w:val="2"/>
        </w:numPr>
        <w:spacing w:after="60"/>
      </w:pPr>
      <w:r>
        <w:t xml:space="preserve">There are no full stops in acronyms.</w:t>
      </w:r>
    </w:p>
    <w:p>
      <w:pPr>
        <w:pStyle w:val="ListParagraph"/>
        <w:numPr>
          <w:ilvl w:val="0"/>
          <w:numId w:val="2"/>
        </w:numPr>
        <w:spacing w:after="60"/>
      </w:pPr>
      <w:r>
        <w:t xml:space="preserve">Some clinical conditions are so well recognised by our target audiences as acronyms that we don’t need to spell them out, e.g. HIV/AIDS.</w:t>
      </w:r>
    </w:p>
    <w:p>
      <w:pPr>
        <w:pStyle w:val="Heading2"/>
        <w:spacing w:after="120" w:before="280"/>
      </w:pPr>
      <w:r>
        <w:t xml:space="preserve">Names and institutions</w:t>
      </w:r>
    </w:p>
    <w:p>
      <w:pPr>
        <w:pStyle w:val="ListParagraph"/>
        <w:numPr>
          <w:ilvl w:val="0"/>
          <w:numId w:val="2"/>
        </w:numPr>
        <w:spacing w:after="60"/>
      </w:pPr>
      <w:r>
        <w:t xml:space="preserve">In the first reference to people, introduce them by (in order) their title, name, role and place of work, for example: Professor Ivan Black, Director of Oncology at St Vincent’s Hospital.</w:t>
      </w:r>
    </w:p>
    <w:p>
      <w:pPr>
        <w:pStyle w:val="Heading3"/>
        <w:spacing w:after="80" w:before="200"/>
      </w:pPr>
      <w:r>
        <w:t xml:space="preserve">Associate Professor</w:t>
      </w:r>
    </w:p>
    <w:p>
      <w:pPr>
        <w:pStyle w:val="ListParagraph"/>
        <w:numPr>
          <w:ilvl w:val="0"/>
          <w:numId w:val="2"/>
        </w:numPr>
        <w:spacing w:after="60"/>
      </w:pPr>
      <w:r>
        <w:t xml:space="preserve">In general, use A/Prof as an abbreviation for the title of Associate Professor.</w:t>
      </w:r>
    </w:p>
    <w:p>
      <w:pPr>
        <w:pStyle w:val="Heading2"/>
        <w:spacing w:after="120" w:before="280"/>
      </w:pPr>
      <w:r>
        <w:t xml:space="preserve">Collective nouns</w:t>
      </w:r>
    </w:p>
    <w:p>
      <w:pPr>
        <w:pStyle w:val="ListParagraph"/>
        <w:numPr>
          <w:ilvl w:val="0"/>
          <w:numId w:val="2"/>
        </w:numPr>
        <w:spacing w:after="60"/>
      </w:pPr>
      <w:r>
        <w:t xml:space="preserve">Most collective nouns, for example, ‘company’, ‘government’, ‘management’, ‘team’, take a singular verb: ‘the company is locating’ not ‘the company are locating’.</w:t>
      </w:r>
    </w:p>
    <w:p>
      <w:pPr>
        <w:pStyle w:val="ListParagraph"/>
        <w:numPr>
          <w:ilvl w:val="0"/>
          <w:numId w:val="2"/>
        </w:numPr>
        <w:spacing w:after="60"/>
      </w:pPr>
      <w:r>
        <w:t xml:space="preserve">Collective nouns such as ‘number’, ‘total’, and ‘group’ take a singular verb if preceded by ‘the’ (e.g. ‘the number of births is declining’), but a plural verb if preceded by ‘a’ (e.g. ‘a number of students are participating’).</w:t>
      </w:r>
    </w:p>
    <w:p>
      <w:pPr>
        <w:pStyle w:val="Heading2"/>
        <w:spacing w:after="120" w:before="280"/>
      </w:pPr>
      <w:r>
        <w:t xml:space="preserve">Plurals</w:t>
      </w:r>
    </w:p>
    <w:p>
      <w:pPr>
        <w:spacing w:after="120"/>
      </w:pPr>
      <w:r>
        <w:t xml:space="preserve">Use the correct form for plurals vs. singular:</w:t>
      </w:r>
    </w:p>
    <w:p>
      <w:pPr>
        <w:pStyle w:val="ListParagraph"/>
        <w:numPr>
          <w:ilvl w:val="0"/>
          <w:numId w:val="2"/>
        </w:numPr>
        <w:spacing w:after="60"/>
      </w:pPr>
      <w:r>
        <w:t xml:space="preserve">bacteria (plural of bacterium)</w:t>
      </w:r>
    </w:p>
    <w:p>
      <w:pPr>
        <w:pStyle w:val="ListParagraph"/>
        <w:numPr>
          <w:ilvl w:val="0"/>
          <w:numId w:val="2"/>
        </w:numPr>
        <w:spacing w:after="60"/>
      </w:pPr>
      <w:r>
        <w:t xml:space="preserve">criteria (plural of criterion)</w:t>
      </w:r>
    </w:p>
    <w:p>
      <w:pPr>
        <w:pStyle w:val="ListParagraph"/>
        <w:numPr>
          <w:ilvl w:val="0"/>
          <w:numId w:val="2"/>
        </w:numPr>
        <w:spacing w:after="60"/>
      </w:pPr>
      <w:r>
        <w:t xml:space="preserve">data (plural of datum)</w:t>
      </w:r>
    </w:p>
    <w:p>
      <w:pPr>
        <w:pStyle w:val="ListParagraph"/>
        <w:numPr>
          <w:ilvl w:val="0"/>
          <w:numId w:val="2"/>
        </w:numPr>
        <w:spacing w:after="60"/>
      </w:pPr>
      <w:r>
        <w:t xml:space="preserve">symposia (plural of symposium)</w:t>
      </w:r>
    </w:p>
    <w:p>
      <w:pPr>
        <w:pStyle w:val="ListParagraph"/>
        <w:numPr>
          <w:ilvl w:val="0"/>
          <w:numId w:val="2"/>
        </w:numPr>
        <w:spacing w:after="60"/>
      </w:pPr>
      <w:r>
        <w:t xml:space="preserve">honoraria (plural of honorarium)</w:t>
      </w:r>
    </w:p>
    <w:p>
      <w:pPr>
        <w:pStyle w:val="Heading2"/>
        <w:spacing w:after="120" w:before="280"/>
      </w:pPr>
      <w:r>
        <w:t xml:space="preserve">Word usage</w:t>
      </w:r>
    </w:p>
    <w:p>
      <w:pPr>
        <w:pStyle w:val="Heading3"/>
        <w:spacing w:after="80" w:before="200"/>
      </w:pPr>
      <w:r>
        <w:t xml:space="preserve">About / around / approximately</w:t>
      </w:r>
    </w:p>
    <w:p>
      <w:pPr>
        <w:pStyle w:val="ListParagraph"/>
        <w:numPr>
          <w:ilvl w:val="0"/>
          <w:numId w:val="2"/>
        </w:numPr>
        <w:spacing w:after="60"/>
      </w:pPr>
      <w:r>
        <w:t xml:space="preserve">Use ‘about’ when giving an estimate rather than ‘around’ or ‘approximately’, e.g. “About 400 women die in Australia of breast cancer each year”.</w:t>
      </w:r>
    </w:p>
    <w:p>
      <w:pPr>
        <w:pStyle w:val="Heading3"/>
        <w:spacing w:after="80" w:before="200"/>
      </w:pPr>
      <w:r>
        <w:t xml:space="preserve">About / on</w:t>
      </w:r>
    </w:p>
    <w:p>
      <w:pPr>
        <w:pStyle w:val="ListParagraph"/>
        <w:numPr>
          <w:ilvl w:val="0"/>
          <w:numId w:val="2"/>
        </w:numPr>
        <w:spacing w:after="60"/>
      </w:pPr>
      <w:r>
        <w:t xml:space="preserve">Use ‘about’ when stating the subject of a talk/book/discussion or similar item, for example, “Dr Martin Simpson presented a paper about depression”.</w:t>
      </w:r>
    </w:p>
    <w:p>
      <w:pPr>
        <w:pStyle w:val="ListParagraph"/>
        <w:numPr>
          <w:ilvl w:val="0"/>
          <w:numId w:val="2"/>
        </w:numPr>
        <w:spacing w:after="60"/>
      </w:pPr>
      <w:r>
        <w:t xml:space="preserve">‘On’, like ‘around’, is used exclusively for spatial relationships, for example, “The hat was on his head”.</w:t>
      </w:r>
    </w:p>
    <w:p>
      <w:pPr>
        <w:pStyle w:val="Heading3"/>
        <w:spacing w:after="80" w:before="200"/>
      </w:pPr>
      <w:r>
        <w:t xml:space="preserve">Between / and</w:t>
      </w:r>
    </w:p>
    <w:p>
      <w:pPr>
        <w:pStyle w:val="ListParagraph"/>
        <w:numPr>
          <w:ilvl w:val="0"/>
          <w:numId w:val="2"/>
        </w:numPr>
        <w:spacing w:after="60"/>
      </w:pPr>
      <w:r>
        <w:t xml:space="preserve">When giving a numerical range, if you use ‘between’ you must use ‘and’, for example, “between 12 and 14 years” not “between 12–14 years”. The hyphen in the second example is read as “to”.</w:t>
      </w:r>
    </w:p>
    <w:p>
      <w:pPr>
        <w:pStyle w:val="Heading3"/>
        <w:spacing w:after="80" w:before="200"/>
      </w:pPr>
      <w:r>
        <w:t xml:space="preserve">Last / past</w:t>
      </w:r>
    </w:p>
    <w:p>
      <w:pPr>
        <w:pStyle w:val="ListParagraph"/>
        <w:numPr>
          <w:ilvl w:val="0"/>
          <w:numId w:val="2"/>
        </w:numPr>
        <w:spacing w:after="60"/>
      </w:pPr>
      <w:r>
        <w:t xml:space="preserve">These words are not interchangeable. ‘Last’ refers literally to the final object in a sequence, for example, ‘the last post’, ‘the last man standing’, whereas ‘past’ refers to a sequence of time leading up to the time of writing, for example, ‘the past few months’. The difference can be very important; saying someone had been ‘very productive in the last few years’ implies that the person is dead.</w:t>
      </w:r>
    </w:p>
    <w:p>
      <w:pPr>
        <w:pStyle w:val="Heading3"/>
        <w:spacing w:after="80" w:before="200"/>
      </w:pPr>
      <w:r>
        <w:t xml:space="preserve">Over / more (than)</w:t>
      </w:r>
    </w:p>
    <w:p>
      <w:pPr>
        <w:pStyle w:val="ListParagraph"/>
        <w:numPr>
          <w:ilvl w:val="0"/>
          <w:numId w:val="2"/>
        </w:numPr>
        <w:spacing w:after="60"/>
      </w:pPr>
      <w:r>
        <w:t xml:space="preserve">‘Over’ should only be used to refer to height or age. Otherwise use ‘more’:</w:t>
      </w:r>
    </w:p>
    <w:p>
      <w:pPr>
        <w:pStyle w:val="ListParagraph"/>
        <w:numPr>
          <w:ilvl w:val="0"/>
          <w:numId w:val="2"/>
        </w:numPr>
        <w:spacing w:after="60"/>
      </w:pPr>
      <w:r>
        <w:t xml:space="preserve">more side effects</w:t>
      </w:r>
    </w:p>
    <w:p>
      <w:pPr>
        <w:pStyle w:val="ListParagraph"/>
        <w:numPr>
          <w:ilvl w:val="0"/>
          <w:numId w:val="2"/>
        </w:numPr>
        <w:spacing w:after="60"/>
      </w:pPr>
      <w:r>
        <w:t xml:space="preserve">more than 100 people</w:t>
      </w:r>
    </w:p>
    <w:p>
      <w:pPr>
        <w:pStyle w:val="ListParagraph"/>
        <w:numPr>
          <w:ilvl w:val="0"/>
          <w:numId w:val="2"/>
        </w:numPr>
        <w:spacing w:after="60"/>
      </w:pPr>
      <w:r>
        <w:t xml:space="preserve">over 18 years old</w:t>
      </w:r>
    </w:p>
    <w:p>
      <w:pPr>
        <w:pStyle w:val="Heading3"/>
        <w:spacing w:after="80" w:before="200"/>
      </w:pPr>
      <w:r>
        <w:t xml:space="preserve">That / which</w:t>
      </w:r>
    </w:p>
    <w:p>
      <w:pPr>
        <w:pStyle w:val="ListParagraph"/>
        <w:numPr>
          <w:ilvl w:val="0"/>
          <w:numId w:val="2"/>
        </w:numPr>
        <w:spacing w:after="60"/>
      </w:pPr>
      <w:r>
        <w:t xml:space="preserve">Test sentences for a non-essential ‘that’, e.g. ‘Professor Simpson said that medication saved lives’ vs ‘Professor Simpson said medication saved lives’.</w:t>
      </w:r>
    </w:p>
    <w:p>
      <w:pPr>
        <w:spacing w:after="120"/>
      </w:pPr>
      <w:r>
        <w:t xml:space="preserve">When to use ‘which’ or ‘that’:</w:t>
      </w:r>
    </w:p>
    <w:p>
      <w:pPr>
        <w:pStyle w:val="ListParagraph"/>
        <w:numPr>
          <w:ilvl w:val="0"/>
          <w:numId w:val="2"/>
        </w:numPr>
        <w:spacing w:after="60"/>
      </w:pPr>
      <w:r>
        <w:t xml:space="preserve">‘That’ defines a subject; ‘which’ is incidental and is usually preceded by a comma.</w:t>
      </w:r>
    </w:p>
    <w:p>
      <w:pPr>
        <w:pStyle w:val="ListParagraph"/>
        <w:numPr>
          <w:ilvl w:val="0"/>
          <w:numId w:val="2"/>
        </w:numPr>
        <w:spacing w:after="60"/>
      </w:pPr>
      <w:r>
        <w:t xml:space="preserve">The hens, which lay brown eggs, are brown. (i.e. all the hens are brown, and they lay brown eggs.)</w:t>
      </w:r>
    </w:p>
    <w:p>
      <w:pPr>
        <w:pStyle w:val="ListParagraph"/>
        <w:numPr>
          <w:ilvl w:val="0"/>
          <w:numId w:val="2"/>
        </w:numPr>
        <w:spacing w:after="60"/>
      </w:pPr>
      <w:r>
        <w:t xml:space="preserve">The hens that lay brown eggs are brown. (i.e. brown eggs are laid by brown hens.)</w:t>
      </w:r>
    </w:p>
    <w:p>
      <w:pPr>
        <w:pStyle w:val="Heading3"/>
        <w:spacing w:after="80" w:before="200"/>
      </w:pPr>
      <w:r>
        <w:t xml:space="preserve">Under / fewer / less (than)</w:t>
      </w:r>
    </w:p>
    <w:p>
      <w:pPr>
        <w:pStyle w:val="ListParagraph"/>
        <w:numPr>
          <w:ilvl w:val="0"/>
          <w:numId w:val="2"/>
        </w:numPr>
        <w:spacing w:after="60"/>
      </w:pPr>
      <w:r>
        <w:t xml:space="preserve">‘Under’ should only be used to refer to height or age. Otherwise use ‘fewer’ for things that can be counted or ‘less (than)’ for things that can’t. For example:</w:t>
      </w:r>
    </w:p>
    <w:p>
      <w:pPr>
        <w:pStyle w:val="ListParagraph"/>
        <w:numPr>
          <w:ilvl w:val="0"/>
          <w:numId w:val="2"/>
        </w:numPr>
        <w:spacing w:after="60"/>
      </w:pPr>
      <w:r>
        <w:t xml:space="preserve">Fewer side effects</w:t>
      </w:r>
    </w:p>
    <w:p>
      <w:pPr>
        <w:pStyle w:val="ListParagraph"/>
        <w:numPr>
          <w:ilvl w:val="0"/>
          <w:numId w:val="2"/>
        </w:numPr>
        <w:spacing w:after="60"/>
      </w:pPr>
      <w:r>
        <w:t xml:space="preserve">Fewer than 100 people</w:t>
      </w:r>
    </w:p>
    <w:p>
      <w:pPr>
        <w:pStyle w:val="ListParagraph"/>
        <w:numPr>
          <w:ilvl w:val="0"/>
          <w:numId w:val="2"/>
        </w:numPr>
        <w:spacing w:after="60"/>
      </w:pPr>
      <w:r>
        <w:t xml:space="preserve">Less toxicity</w:t>
      </w:r>
    </w:p>
    <w:p>
      <w:pPr>
        <w:pStyle w:val="ListParagraph"/>
        <w:numPr>
          <w:ilvl w:val="0"/>
          <w:numId w:val="2"/>
        </w:numPr>
        <w:spacing w:after="60"/>
      </w:pPr>
      <w:r>
        <w:t xml:space="preserve">Less information</w:t>
      </w:r>
    </w:p>
    <w:p>
      <w:r>
        <w:br w:type="page"/>
      </w:r>
    </w:p>
    <w:p>
      <w:pPr>
        <w:pStyle w:val="Heading1"/>
        <w:spacing w:after="180" w:before="360"/>
      </w:pPr>
      <w:r>
        <w:t xml:space="preserve">Companion documents</w:t>
      </w:r>
    </w:p>
    <w:p>
      <w:pPr>
        <w:spacing w:after="120"/>
      </w:pPr>
      <w:r>
        <w:rPr>
          <w:b/>
          <w:bCs/>
        </w:rPr>
        <w:t xml:space="preserve">Ward6 Voice &amp; Tone</w:t>
      </w:r>
      <w:r>
        <w:t xml:space="preserve"> — voice descriptors, sentence-level guidance, tone sliders by deliverable, voice exemplars.</w:t>
      </w:r>
    </w:p>
    <w:p>
      <w:pPr>
        <w:spacing w:after="120"/>
      </w:pPr>
      <w:r>
        <w:rPr>
          <w:b/>
          <w:bCs/>
        </w:rPr>
        <w:t>Audience tiers and per-tier register defaults are handled at the brand level, in each brand's Audiences document.</w:t>
      </w:r>
      <w:r/>
    </w:p>
    <w:p>
      <w:pPr>
        <w:spacing w:after="120"/>
      </w:pPr>
      <w:r>
        <w:rPr>
          <w:b/>
          <w:bCs/>
        </w:rPr>
        <w:t xml:space="preserve">Ward6 References Style</w:t>
      </w:r>
      <w:r>
        <w:t xml:space="preserve"> — full citation/reference formatting (Endnote and manual).</w:t>
      </w:r>
    </w:p>
    <w:p>
      <w:pPr>
        <w:spacing w:after="120"/>
      </w:pPr>
      <w:r>
        <w:rPr>
          <w:b/>
          <w:bCs/>
        </w:rPr>
        <w:t xml:space="preserve">Ward6 Compliance &amp; Regulatory Framing</w:t>
      </w:r>
      <w:r>
        <w:t xml:space="preserve"> — fair balance, comparator claims, off-label, claims substantiation, Medicines Australia Code.</w:t>
      </w:r>
    </w:p>
    <w:p>
      <w:pPr>
        <w:spacing w:after="120"/>
      </w:pPr>
      <w:r>
        <w:rPr>
          <w:b/>
          <w:bCs/>
        </w:rPr>
        <w:t xml:space="preserve">Ward6 Digital Writing</w:t>
      </w:r>
      <w:r>
        <w:t xml:space="preserve"> — headlines, CTAs, accessibility, character limits, mobile-first.</w:t>
      </w:r>
    </w:p>
    <w:p>
      <w:pPr>
        <w:spacing w:after="120"/>
      </w:pPr>
      <w:r>
        <w:rPr>
          <w:b/>
          <w:bCs/>
        </w:rPr>
        <w:t xml:space="preserve">Ward6 Production Workflow</w:t>
      </w:r>
      <w:r>
        <w:t xml:space="preserve"> — file paths, EndNote setup, version control, copy doc template.</w:t>
      </w:r>
    </w:p>
    <w:p>
      <w:pPr>
        <w:spacing w:after="120"/>
      </w:pPr>
      <w:r>
        <w:rPr>
          <w:b/>
          <w:bCs/>
        </w:rPr>
        <w:t xml:space="preserve">Ward6 Style Architecture &amp; Skill Map</w:t>
      </w:r>
      <w:r>
        <w:t xml:space="preserve"> — index of all docs, ownership, decay rates, skill-application matrix.</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777777"/>
        <w:sz w:val="18"/>
        <w:szCs w:val="18"/>
      </w:rPr>
      <w:t xml:space="preserve">Page </w:t>
    </w:r>
    <w:r>
      <w:rPr>
        <w:color w:val="777777"/>
        <w:sz w:val="18"/>
        <w:szCs w:val="18"/>
      </w:rPr>
      <w:fldChar w:fldCharType="begin"/>
      <w:instrText xml:space="preserve">PAGE</w:instrText>
      <w:fldChar w:fldCharType="separate"/>
      <w:fldChar w:fldCharType="end"/>
    </w:r>
    <w:r>
      <w:rPr>
        <w:color w:val="777777"/>
        <w:sz w:val="18"/>
        <w:szCs w:val="18"/>
      </w:rPr>
      <w:t xml:space="preserve"> of </w:t>
    </w:r>
    <w:r>
      <w:rPr>
        <w:color w:val="777777"/>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777777"/>
        <w:sz w:val="18"/>
        <w:szCs w:val="18"/>
      </w:rPr>
      <w:t xml:space="preserve">Ward6  |  Style &amp; Process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360"/>
      <w:outlineLvl w:val="0"/>
    </w:pPr>
    <w:rPr>
      <w:rFonts w:ascii="Calibri" w:cs="Calibri" w:eastAsia="Calibri" w:hAnsi="Calibri"/>
      <w:b/>
      <w:bCs/>
      <w:color w:val="1F2937"/>
      <w:sz w:val="32"/>
      <w:szCs w:val="32"/>
    </w:rPr>
  </w:style>
  <w:style w:type="paragraph" w:styleId="Heading2">
    <w:name w:val="Heading 2"/>
    <w:basedOn w:val="Normal"/>
    <w:next w:val="Normal"/>
    <w:qFormat/>
    <w:pPr>
      <w:spacing w:after="120" w:before="280"/>
      <w:outlineLvl w:val="1"/>
    </w:pPr>
    <w:rPr>
      <w:rFonts w:ascii="Calibri" w:cs="Calibri" w:eastAsia="Calibri" w:hAnsi="Calibri"/>
      <w:b/>
      <w:bCs/>
      <w:color w:val="1F2937"/>
      <w:sz w:val="26"/>
      <w:szCs w:val="26"/>
    </w:rPr>
  </w:style>
  <w:style w:type="paragraph" w:styleId="Heading3">
    <w:name w:val="Heading 3"/>
    <w:basedOn w:val="Normal"/>
    <w:next w:val="Normal"/>
    <w:qFormat/>
    <w:pPr>
      <w:spacing w:after="80" w:before="200"/>
      <w:outlineLvl w:val="2"/>
    </w:pPr>
    <w:rPr>
      <w:rFonts w:ascii="Calibri" w:cs="Calibri" w:eastAsia="Calibri" w:hAnsi="Calibri"/>
      <w:b/>
      <w:bCs/>
      <w:color w:val="374151"/>
      <w:sz w:val="22"/>
      <w:szCs w:val="22"/>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Ward6 Style &amp; Process</dc:title>
  <dc:creator>Ward6</dc:creator>
  <cp:lastModifiedBy>Un-named</cp:lastModifiedBy>
  <cp:revision>1</cp:revision>
  <dcterms:created xsi:type="dcterms:W3CDTF">2026-05-05T06:11:17.401Z</dcterms:created>
  <dcterms:modified xsi:type="dcterms:W3CDTF">2026-05-05T06:11:17.401Z</dcterms:modified>
</cp:coreProperties>
</file>

<file path=docProps/custom.xml><?xml version="1.0" encoding="utf-8"?>
<Properties xmlns="http://schemas.openxmlformats.org/officeDocument/2006/custom-properties" xmlns:vt="http://schemas.openxmlformats.org/officeDocument/2006/docPropsVTypes"/>
</file>