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240"/>
        <w:jc w:val="left"/>
      </w:pPr>
      <w:r>
        <w:rPr>
          <w:b/>
          <w:bCs/>
          <w:sz w:val="44"/>
          <w:szCs w:val="44"/>
        </w:rPr>
        <w:t xml:space="preserve">Ward6 Compliance &amp; Regulatory Framing</w:t>
      </w:r>
    </w:p>
    <w:p>
      <w:pPr>
        <w:spacing w:after="120"/>
      </w:pPr>
      <w:r>
        <w:rPr>
          <w:color w:val="555555"/>
          <w:sz w:val="28"/>
          <w:szCs w:val="28"/>
        </w:rPr>
        <w:t xml:space="preserve">Fair balance, claim substantiation, Medicines Australia Code</w:t>
      </w:r>
    </w:p>
    <w:p>
      <w:pPr>
        <w:spacing w:after="240"/>
      </w:pPr>
      <w:r>
        <w:rPr>
          <w:i/>
          <w:iCs/>
          <w:color w:val="777777"/>
        </w:rPr>
        <w:t xml:space="preserve">Largely new. The 2018 house style referenced Medicines Australia briefly under qualifiers; the rest is starter content for team review.</w:t>
      </w:r>
    </w:p>
    <w:p>
      <w:pPr>
        <w:spacing w:after="120"/>
      </w:pPr>
      <w:r>
        <w:t>This document captures the compliance and regulatory framing that Ward6 expects every writer to apply by default. It is closely tied to the rules on qualifiers/footnotes in House Style and to the audience-specific framing handled at the brand level.</w:t>
      </w:r>
    </w:p>
    <w:p>
      <w:pPr>
        <w:spacing w:after="120"/>
      </w:pPr>
      <w:r>
        <w:t xml:space="preserve">Different teams (and different brands within teams) operate under different compliance regimes. Team-specific overrides should sit alongside this document.</w:t>
      </w:r>
    </w:p>
    <w:p>
      <w:pPr>
        <w:spacing w:after="120"/>
      </w:pPr>
      <w:r>
        <w:t xml:space="preserve">This document is not a substitute for client-specific compliance training, brand briefs, or formal medical/legal review.</w:t>
      </w:r>
    </w:p>
    <w:p>
      <w:pPr>
        <w:pBdr>
          <w:bottom w:val="single" w:color="999999" w:sz="6" w:space="1"/>
        </w:pBdr>
        <w:spacing w:after="240"/>
      </w:pPr>
    </w:p>
    <w:p>
      <w:pPr>
        <w:pStyle w:val="Heading1"/>
        <w:spacing w:after="180" w:before="360"/>
      </w:pPr>
      <w:r>
        <w:t xml:space="preserve">How to read this document</w:t>
      </w:r>
    </w:p>
    <w:p>
      <w:pPr>
        <w:spacing w:after="120"/>
      </w:pPr>
      <w:r>
        <w:rPr>
          <w:highlight w:val="yellow"/>
          <w:highlightCs w:val="yellow"/>
        </w:rPr>
        <w:t xml:space="preserve">Yellow-highlighted content is PROPOSED — the team is asked to confirm, expand, or correct. Unhighlighted content is preserved from the 2018 house style.</w:t>
      </w:r>
    </w:p>
    <w:p>
      <w:pPr>
        <w:pStyle w:val="Heading1"/>
        <w:spacing w:after="180" w:before="360"/>
      </w:pPr>
      <w:r>
        <w:t xml:space="preserve">Qualifiers and footnotes</w:t>
      </w:r>
    </w:p>
    <w:p>
      <w:pPr>
        <w:spacing w:after="120"/>
      </w:pPr>
      <w:r>
        <w:t>Qualifier and footnote mechanics (symbol order, placement, and page rules) live in Ward6 House Style and are not duplicated here.</w:t>
      </w:r>
    </w:p>
    <w:p>
      <w:pPr>
        <w:pStyle w:val="Heading1"/>
        <w:spacing w:after="180" w:before="360"/>
      </w:pPr>
      <w:r>
        <w:t xml:space="preserve">Fair balance  [PROPOSED]</w:t>
      </w:r>
    </w:p>
    <w:p>
      <w:pPr>
        <w:spacing w:after="120"/>
      </w:pPr>
      <w:r>
        <w:rPr>
          <w:highlight w:val="yellow"/>
          <w:highlightCs w:val="yellow"/>
        </w:rPr>
        <w:t xml:space="preserve">Every claim of efficacy or benefit should be accompanied by appropriate safety information. Team to confirm: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At what proximity does safety information need to appear (same page? facing page? within X words?).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Are there piece types where fair balance applies differently (e.g. patient leaflet vs scientific update vs eDA vs poster)?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How is fair balance signalled visually (footnote? sidebar? boxed callout?).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Where is the canonical safety statement for each brand kept and how is it kept current?</w:t>
      </w:r>
    </w:p>
    <w:p>
      <w:pPr>
        <w:pStyle w:val="Heading1"/>
        <w:spacing w:after="180" w:before="360"/>
      </w:pPr>
      <w:r>
        <w:t xml:space="preserve">Comparator claims  [PROPOSED]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Comparator claims should only be made against published, head-to-head data.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“Superior to” language should be reserved for statistically significant superiority demonstrated in a head-to-head trial; otherwise “comparable to”, “similar to”, or descriptive framing is preferred.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Indirect comparisons (e.g. cross-trial, network meta-analysis) should be flagged as such; the limitations should be stated.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Class effects should not be presented as if they were product-specific advantages.</w:t>
      </w:r>
    </w:p>
    <w:p>
      <w:pPr>
        <w:spacing w:after="120"/>
      </w:pPr>
      <w:r>
        <w:rPr>
          <w:highlight w:val="yellow"/>
          <w:highlightCs w:val="yellow"/>
        </w:rPr>
        <w:t xml:space="preserve">Team to confirm exact comparator-claim language Ward6 has settled on, and any client-specific exceptions.</w:t>
      </w:r>
    </w:p>
    <w:p>
      <w:pPr>
        <w:pStyle w:val="Heading1"/>
        <w:spacing w:after="180" w:before="360"/>
      </w:pPr>
      <w:r>
        <w:t xml:space="preserve">Off-label  [PROPOSED]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Never imply use outside the approved (TGA-registered) indication for a product.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When discussing emerging evidence or pipeline data outside the indication, label clearly as investigational, pre-approval, or outside-indication.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Off-label clinical practice can be discussed in clearly editorial / peer-discussion contexts but never in promotional copy.</w:t>
      </w:r>
    </w:p>
    <w:p>
      <w:pPr>
        <w:spacing w:after="120"/>
      </w:pPr>
      <w:r>
        <w:rPr>
          <w:highlight w:val="yellow"/>
          <w:highlightCs w:val="yellow"/>
        </w:rPr>
        <w:t xml:space="preserve">Team to confirm policy and edge cases (e.g. switching, paediatric extrapolation, real-world evidence pieces).</w:t>
      </w:r>
    </w:p>
    <w:p>
      <w:pPr>
        <w:pStyle w:val="Heading1"/>
        <w:spacing w:after="180" w:before="360"/>
      </w:pPr>
      <w:r>
        <w:t xml:space="preserve">Claims substantiation  [PROPOSED]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Every claim should be referenced.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“Data on file” cited only when an external publication doesn’t exist; reference should provide identification of the document(s).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A claim that summarises multiple sources should reference all of them.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Visual claims (graphs, infographics, callouts) carry the same substantiation requirement as text claims.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Endpoints: secondary or exploratory endpoints presented as if primary should be flagged.</w:t>
      </w:r>
    </w:p>
    <w:p>
      <w:pPr>
        <w:spacing w:after="120"/>
      </w:pPr>
      <w:r>
        <w:rPr>
          <w:highlight w:val="yellow"/>
          <w:highlightCs w:val="yellow"/>
        </w:rPr>
        <w:t xml:space="preserve">Team to confirm Ward6’s default substantiation hierarchy (peer-reviewed &gt; regulatory documents &gt; congress data &gt; data on file) and how to handle each.</w:t>
      </w:r>
    </w:p>
    <w:p>
      <w:pPr>
        <w:pStyle w:val="Heading1"/>
        <w:spacing w:after="180" w:before="360"/>
      </w:pPr>
      <w:r>
        <w:t xml:space="preserve">PBS / TGA wording  [PROPOSED]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PBS-listed indication wording: use the wording approved by the Pharmaceutical Benefits Scheme; do not paraphrase.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TGA-approved indication wording: use the wording from the current Product Information; do not paraphrase.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When the brief or piece requires consumer-readable language, do not present that language as the indication; clearly distinguish editorial paraphrase from approved wording.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Authorisation/approval status (PBS-listed, TGA-registered) should be current at the date of publication; check before sign-off.</w:t>
      </w:r>
    </w:p>
    <w:p>
      <w:pPr>
        <w:spacing w:after="120"/>
      </w:pPr>
      <w:r>
        <w:rPr>
          <w:highlight w:val="yellow"/>
          <w:highlightCs w:val="yellow"/>
        </w:rPr>
        <w:t xml:space="preserve">Team to confirm Ward6’s standard approach and where the canonical PBS/TGA wording for each brand is stored.</w:t>
      </w:r>
    </w:p>
    <w:p>
      <w:pPr>
        <w:pStyle w:val="Heading1"/>
        <w:spacing w:after="180" w:before="360"/>
      </w:pPr>
      <w:r>
        <w:t xml:space="preserve">Medicines Australia Code of Conduct  [PROPOSED]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Confirm current edition the team is working to.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List the sections most often invoked in copy review (e.g. comparative claims, fair balance, references, consumer materials, e-promotion).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Note the relationship between the Code and individual client SOPs — where the Code is more or less strict than a client requires.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Note the workflow for Code-related questions: who in the team can answer, who escalates to the client, who escalates to Medicines Australia.</w:t>
      </w:r>
    </w:p>
    <w:p>
      <w:pPr>
        <w:pStyle w:val="Heading1"/>
        <w:spacing w:after="180" w:before="360"/>
      </w:pPr>
      <w:r>
        <w:t xml:space="preserve">Patient confidentiality and case-study consent  [PROPOSED]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Any case study, patient narrative, or quoted patient experience must be backed by appropriate consent.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De-identification: anonymising name and location may not be sufficient if other details are identifying; check.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Consent for use in promotional copy is distinct from consent for use in clinical research.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Where a piece references a real patient or case, the team should be able to produce the consent record.</w:t>
      </w:r>
    </w:p>
    <w:p>
      <w:pPr>
        <w:pStyle w:val="Heading1"/>
        <w:spacing w:after="180" w:before="360"/>
      </w:pPr>
      <w:r>
        <w:t xml:space="preserve">Companion documents</w:t>
      </w:r>
    </w:p>
    <w:p>
      <w:pPr>
        <w:spacing w:after="120"/>
      </w:pPr>
      <w:r>
        <w:rPr>
          <w:b/>
          <w:bCs/>
        </w:rPr>
        <w:t xml:space="preserve">Ward6 House Style</w:t>
      </w:r>
      <w:r>
        <w:t xml:space="preserve"> — qualifier mechanics, banned phrases, the “significantly without statistics” trap.</w:t>
      </w:r>
    </w:p>
    <w:p>
      <w:pPr>
        <w:spacing w:after="120"/>
      </w:pPr>
      <w:r>
        <w:rPr>
          <w:b/>
          <w:bCs/>
        </w:rPr>
        <w:t>Claim substantiation requirements vary by audience tier (especially payer/regulator); audience tiers are defined at the brand level, in the brand's Audiences document.</w:t>
      </w:r>
      <w:r/>
    </w:p>
    <w:p>
      <w:pPr>
        <w:spacing w:after="120"/>
      </w:pPr>
      <w:r>
        <w:rPr>
          <w:b/>
          <w:bCs/>
        </w:rPr>
        <w:t xml:space="preserve">Ward6 Voice &amp; Tone</w:t>
      </w:r>
      <w:r>
        <w:t xml:space="preserve"> — “hedged into mush” warning sits in tension with appropriate qualification; this document defines the floor.</w:t>
      </w:r>
    </w:p>
    <w:p>
      <w:pPr>
        <w:spacing w:after="120"/>
      </w:pPr>
      <w:r>
        <w:rPr>
          <w:b/>
          <w:bCs/>
        </w:rPr>
        <w:t xml:space="preserve">Ward6 References Style</w:t>
      </w:r>
      <w:r>
        <w:t xml:space="preserve"> — citation mechanics for substantiation.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777777"/>
        <w:sz w:val="18"/>
        <w:szCs w:val="18"/>
      </w:rPr>
      <w:t xml:space="preserve">Page </w:t>
    </w:r>
    <w:r>
      <w:rPr>
        <w:color w:val="777777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777777"/>
        <w:sz w:val="18"/>
        <w:szCs w:val="18"/>
      </w:rPr>
      <w:t xml:space="preserve"> of </w:t>
    </w:r>
    <w:r>
      <w:rPr>
        <w:color w:val="777777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777777"/>
        <w:sz w:val="18"/>
        <w:szCs w:val="18"/>
      </w:rPr>
      <w:t xml:space="preserve">Ward6  |  Style &amp; Process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Calibri" w:cs="Calibri" w:eastAsia="Calibri" w:hAnsi="Calibri"/>
      <w:b/>
      <w:bCs/>
      <w:color w:val="1F2937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Calibri" w:cs="Calibri" w:eastAsia="Calibri" w:hAnsi="Calibri"/>
      <w:b/>
      <w:bCs/>
      <w:color w:val="1F2937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Calibri" w:cs="Calibri" w:eastAsia="Calibri" w:hAnsi="Calibri"/>
      <w:b/>
      <w:bCs/>
      <w:color w:val="374151"/>
      <w:sz w:val="22"/>
      <w:szCs w:val="22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Ward6 Style &amp; Process</dc:title>
  <dc:creator>Ward6</dc:creator>
  <cp:lastModifiedBy>Un-named</cp:lastModifiedBy>
  <cp:revision>1</cp:revision>
  <dcterms:created xsi:type="dcterms:W3CDTF">2026-05-05T06:14:01.204Z</dcterms:created>
  <dcterms:modified xsi:type="dcterms:W3CDTF">2026-05-05T06:14:01.205Z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