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0d0d" w:val="clear"/>
            <w:tcMar>
              <w:top w:type="dxa" w:w="1000"/>
              <w:left w:type="dxa" w:w="1000"/>
              <w:bottom w:type="dxa" w:w="1000"/>
              <w:right w:type="dxa" w:w="1000"/>
            </w:tcMar>
            <w:vAlign w:val="top"/>
          </w:tcPr>
          <w:p>
            <w:pPr>
              <w:spacing w:after="0" w:before="0"/>
              <w:jc w:val="left"/>
            </w:pPr>
            <w:r>
              <w:drawing>
                <wp:inline distT="0" distB="0" distL="0" distR="0">
                  <wp:extent cx="171450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295275"/>
                          </a:xfrm>
                          <a:prstGeom prst="rect">
                            <a:avLst/>
                          </a:prstGeom>
                        </pic:spPr>
                      </pic:pic>
                    </a:graphicData>
                  </a:graphic>
                </wp:inline>
              </w:drawing>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100" w:before="0"/>
              <w:jc w:val="left"/>
            </w:pPr>
            <w:r>
              <w:rPr>
                <w:rFonts w:ascii="Playfair Display" w:cs="Playfair Display" w:eastAsia="Playfair Display" w:hAnsi="Playfair Display"/>
                <w:b/>
                <w:bCs/>
                <w:i w:val="false"/>
                <w:iCs w:val="false"/>
                <w:color w:val="FFFFFF"/>
                <w:sz w:val="48"/>
                <w:szCs w:val="48"/>
              </w:rPr>
              <w:t xml:space="preserve">WARD6AI PLATFORM</w:t>
            </w:r>
          </w:p>
          <w:p>
            <w:pPr>
              <w:spacing w:after="80" w:before="0"/>
              <w:jc w:val="left"/>
            </w:pPr>
            <w:r>
              <w:rPr>
                <w:rFonts w:ascii="Playfair Display" w:cs="Playfair Display" w:eastAsia="Playfair Display" w:hAnsi="Playfair Display"/>
                <w:b w:val="false"/>
                <w:bCs w:val="false"/>
                <w:i w:val="false"/>
                <w:iCs w:val="false"/>
                <w:color w:val="50e3c2"/>
                <w:sz w:val="36"/>
                <w:szCs w:val="36"/>
              </w:rPr>
              <w:t xml:space="preserve">Skill Reference Usage Matrix</w:t>
            </w:r>
          </w:p>
          <w:p>
            <w:pPr>
              <w:pBdr>
                <w:bottom w:val="single" w:color="0c9d7c" w:sz="3" w:space="6"/>
              </w:pBdr>
              <w:spacing w:after="160" w:before="0"/>
            </w:pPr>
            <w:r>
              <w:rPr>
                <w:rFonts w:ascii="Plus Jakarta Sans" w:cs="Plus Jakarta Sans" w:eastAsia="Plus Jakarta Sans" w:hAnsi="Plus Jakarta Sans"/>
                <w:i/>
                <w:iCs/>
                <w:color w:val="888888"/>
                <w:sz w:val="19"/>
                <w:szCs w:val="19"/>
              </w:rPr>
              <w:t xml:space="preserve">Which reference documents feed which skills, and what's mandatory vs optional</w:t>
            </w:r>
          </w:p>
          <w:p>
            <w:pPr>
              <w:spacing w:after="80" w:before="0"/>
            </w:pPr>
            <w:r>
              <w:rPr>
                <w:color w:val="0d0d0d"/>
                <w:sz w:val="20"/>
                <w:szCs w:val="20"/>
              </w:rPr>
              <w:t xml:space="preserve"> </w:t>
            </w:r>
          </w:p>
          <w:p>
            <w:pPr>
              <w:spacing w:after="80" w:before="0"/>
              <w:jc w:val="left"/>
            </w:pPr>
            <w:r>
              <w:rPr>
                <w:rFonts w:ascii="Plus Jakarta Sans" w:cs="Plus Jakarta Sans" w:eastAsia="Plus Jakarta Sans" w:hAnsi="Plus Jakarta Sans"/>
                <w:b w:val="false"/>
                <w:bCs w:val="false"/>
                <w:i/>
                <w:iCs/>
                <w:color w:val="888888"/>
                <w:sz w:val="17"/>
                <w:szCs w:val="17"/>
              </w:rPr>
              <w:t xml:space="preserve">Living document  ·  Last updated 29 May 2026</w:t>
            </w:r>
          </w:p>
        </w:tc>
      </w:tr>
    </w:tbl>
    <w:p>
      <w:pPr>
        <w:sectPr>
          <w:footerReference w:type="default" r:id="rId7"/>
          <w:type w:val="nextPage"/>
          <w:pgSz w:w="12240" w:h="15840" w:orient="portrait"/>
          <w:pgMar w:top="0" w:right="0" w:bottom="0" w:left="0" w:header="708" w:footer="708" w:gutter="0"/>
          <w:pgNumType/>
          <w:docGrid w:linePitch="360"/>
        </w:sectPr>
      </w:pPr>
    </w:p>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Maintenance:  </w:t>
            </w:r>
            <w:r>
              <w:rPr>
                <w:rFonts w:ascii="Plus Jakarta Sans" w:cs="Plus Jakarta Sans" w:eastAsia="Plus Jakarta Sans" w:hAnsi="Plus Jakarta Sans"/>
                <w:i/>
                <w:iCs/>
                <w:color w:val="1A5C4A"/>
                <w:sz w:val="19"/>
                <w:szCs w:val="19"/>
              </w:rPr>
              <w:t xml:space="preserve">update this document whenever a reference document is added, removed, renamed or archived, or when a skill's loaded-file set changes. Add a dated line to the change log at the end.</w:t>
            </w:r>
          </w:p>
        </w:tc>
      </w:tr>
    </w:tbl>
    <w:p>
      <w:pPr>
        <w:spacing w:after="200" w:before="240"/>
      </w:pPr>
      <w:r>
        <w:rPr>
          <w:rFonts w:ascii="Plus Jakarta Sans" w:cs="Plus Jakarta Sans" w:eastAsia="Plus Jakarta Sans" w:hAnsi="Plus Jakarta Sans"/>
          <w:color w:val="0d0d0d"/>
          <w:sz w:val="22"/>
          <w:szCs w:val="22"/>
        </w:rPr>
        <w:t xml:space="preserve">The living record of which reference documents each skill consumes, whether each is mandatory or optional, and where each skill loads them from. Covers the Ward 6 and Ward 7 pilot skills.</w:t>
      </w:r>
    </w:p>
    <w:p>
      <w:pPr>
        <w:pStyle w:val="Heading2"/>
        <w:spacing w:after="120" w:before="320"/>
      </w:pPr>
      <w:r>
        <w:rPr>
          <w:rFonts w:ascii="Playfair Display" w:cs="Playfair Display" w:eastAsia="Playfair Display" w:hAnsi="Playfair Display"/>
          <w:b/>
          <w:bCs/>
          <w:color w:val="0c9d7c"/>
          <w:sz w:val="28"/>
          <w:szCs w:val="28"/>
        </w:rPr>
        <w:t xml:space="preserve">Skills key</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S1: Proof Check</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S2: Reference &amp; Claim Checker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S3: Document Element Extractor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S4: Email Drafter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S5: Word Document Formatter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S6: Approved Claims Library Builder</w:t>
      </w:r>
    </w:p>
    <w:p>
      <w:pPr>
        <w:pStyle w:val="Heading2"/>
        <w:spacing w:after="120" w:before="320"/>
      </w:pPr>
      <w:r>
        <w:rPr>
          <w:rFonts w:ascii="Playfair Display" w:cs="Playfair Display" w:eastAsia="Playfair Display" w:hAnsi="Playfair Display"/>
          <w:b/>
          <w:bCs/>
          <w:color w:val="0c9d7c"/>
          <w:sz w:val="28"/>
          <w:szCs w:val="28"/>
        </w:rPr>
        <w:t xml:space="preserve">Legend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 mandatory — loaded at runtime; the skill hard-fails if the file is missing</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 optional — loaded if present, with a graceful fall-back if missing</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 source / maintenance only — not loaded by the skill at runtime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 produced by the skill (an output, not a load)</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Blank cell: not used by that skill. Documents are per ward unless marked (brand).</w:t>
      </w:r>
    </w:p>
    <w:p>
      <w:pPr>
        <w:pStyle w:val="Heading2"/>
        <w:spacing w:after="120" w:before="320"/>
      </w:pPr>
      <w:r>
        <w:rPr>
          <w:rFonts w:ascii="Playfair Display" w:cs="Playfair Display" w:eastAsia="Playfair Display" w:hAnsi="Playfair Display"/>
          <w:b/>
          <w:bCs/>
          <w:color w:val="0c9d7c"/>
          <w:sz w:val="28"/>
          <w:szCs w:val="28"/>
        </w:rPr>
        <w:t xml:space="preserve">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60"/>
        <w:gridCol w:w="1100"/>
        <w:gridCol w:w="1100"/>
        <w:gridCol w:w="1100"/>
        <w:gridCol w:w="1100"/>
        <w:gridCol w:w="1100"/>
        <w:gridCol w:w="1100"/>
      </w:tblGrid>
      <w:tr>
        <w:tc>
          <w:tcPr>
            <w:tcW w:type="dxa" w:w="27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Document</w:t>
            </w:r>
          </w:p>
        </w:tc>
        <w:tc>
          <w:tcPr>
            <w:tcW w:type="dxa" w:w="11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center"/>
            </w:pPr>
            <w:r>
              <w:rPr>
                <w:rFonts w:ascii="Plus Jakarta Sans" w:cs="Plus Jakarta Sans" w:eastAsia="Plus Jakarta Sans" w:hAnsi="Plus Jakarta Sans"/>
                <w:b/>
                <w:bCs/>
                <w:color w:val="FFFFFF"/>
                <w:sz w:val="18"/>
                <w:szCs w:val="18"/>
              </w:rPr>
              <w:t xml:space="preserve">S1</w:t>
            </w:r>
          </w:p>
        </w:tc>
        <w:tc>
          <w:tcPr>
            <w:tcW w:type="dxa" w:w="11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center"/>
            </w:pPr>
            <w:r>
              <w:rPr>
                <w:rFonts w:ascii="Plus Jakarta Sans" w:cs="Plus Jakarta Sans" w:eastAsia="Plus Jakarta Sans" w:hAnsi="Plus Jakarta Sans"/>
                <w:b/>
                <w:bCs/>
                <w:color w:val="FFFFFF"/>
                <w:sz w:val="18"/>
                <w:szCs w:val="18"/>
              </w:rPr>
              <w:t xml:space="preserve">S2</w:t>
            </w:r>
          </w:p>
        </w:tc>
        <w:tc>
          <w:tcPr>
            <w:tcW w:type="dxa" w:w="11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center"/>
            </w:pPr>
            <w:r>
              <w:rPr>
                <w:rFonts w:ascii="Plus Jakarta Sans" w:cs="Plus Jakarta Sans" w:eastAsia="Plus Jakarta Sans" w:hAnsi="Plus Jakarta Sans"/>
                <w:b/>
                <w:bCs/>
                <w:color w:val="FFFFFF"/>
                <w:sz w:val="18"/>
                <w:szCs w:val="18"/>
              </w:rPr>
              <w:t xml:space="preserve">S3</w:t>
            </w:r>
          </w:p>
        </w:tc>
        <w:tc>
          <w:tcPr>
            <w:tcW w:type="dxa" w:w="11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center"/>
            </w:pPr>
            <w:r>
              <w:rPr>
                <w:rFonts w:ascii="Plus Jakarta Sans" w:cs="Plus Jakarta Sans" w:eastAsia="Plus Jakarta Sans" w:hAnsi="Plus Jakarta Sans"/>
                <w:b/>
                <w:bCs/>
                <w:color w:val="FFFFFF"/>
                <w:sz w:val="18"/>
                <w:szCs w:val="18"/>
              </w:rPr>
              <w:t xml:space="preserve">S4</w:t>
            </w:r>
          </w:p>
        </w:tc>
        <w:tc>
          <w:tcPr>
            <w:tcW w:type="dxa" w:w="11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center"/>
            </w:pPr>
            <w:r>
              <w:rPr>
                <w:rFonts w:ascii="Plus Jakarta Sans" w:cs="Plus Jakarta Sans" w:eastAsia="Plus Jakarta Sans" w:hAnsi="Plus Jakarta Sans"/>
                <w:b/>
                <w:bCs/>
                <w:color w:val="FFFFFF"/>
                <w:sz w:val="18"/>
                <w:szCs w:val="18"/>
              </w:rPr>
              <w:t xml:space="preserve">S5</w:t>
            </w:r>
          </w:p>
        </w:tc>
        <w:tc>
          <w:tcPr>
            <w:tcW w:type="dxa" w:w="11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center"/>
            </w:pPr>
            <w:r>
              <w:rPr>
                <w:rFonts w:ascii="Plus Jakarta Sans" w:cs="Plus Jakarta Sans" w:eastAsia="Plus Jakarta Sans" w:hAnsi="Plus Jakarta Sans"/>
                <w:b/>
                <w:bCs/>
                <w:color w:val="FFFFFF"/>
                <w:sz w:val="18"/>
                <w:szCs w:val="18"/>
              </w:rPr>
              <w:t xml:space="preserve">S6</w:t>
            </w:r>
          </w:p>
        </w:tc>
      </w:tr>
      <w:tr>
        <w:tc>
          <w:tcPr>
            <w:tcW w:type="dxa" w:w="2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Rules Checklist (Ward)</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House Style (Ward)</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References Style (Ward)</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Voice &amp; Tone (Ward)</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Approved Terms (brand)</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Approved Claims (brand)</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w:t>
            </w:r>
          </w:p>
        </w:tc>
      </w:tr>
      <w:tr>
        <w:tc>
          <w:tcPr>
            <w:tcW w:type="dxa" w:w="2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Email Templates (brand)</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Audiences (brand)</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Brand Values (brand)</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bCs/>
                <w:color w:val="0c9d7c"/>
                <w:sz w:val="22"/>
                <w:szCs w:val="22"/>
              </w:rPr>
              <w:t xml:space="preserve">●</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Compliance &amp; Regulatory Framing</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Digital Writing</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Production Workflow</w:t>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FFFFF"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r>
        <w:tc>
          <w:tcPr>
            <w:tcW w:type="dxa" w:w="2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Style Architecture &amp; Skill Map</w:t>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c>
          <w:tcPr>
            <w:tcW w:type="dxa" w:w="1100"/>
            <w:tcBorders>
              <w:top w:val="single" w:color="D8D8D8" w:sz="1"/>
              <w:left w:val="single" w:color="D8D8D8" w:sz="1"/>
              <w:bottom w:val="single" w:color="D8D8D8" w:sz="1"/>
              <w:right w:val="single" w:color="D8D8D8" w:sz="1"/>
            </w:tcBorders>
            <w:shd w:fill="f7f7f7" w:val="clear"/>
            <w:tcMar>
              <w:top w:type="dxa" w:w="90"/>
              <w:left w:type="dxa" w:w="80"/>
              <w:bottom w:type="dxa" w:w="90"/>
              <w:right w:type="dxa" w:w="80"/>
            </w:tcMar>
            <w:vAlign w:val="center"/>
          </w:tcPr>
          <w:p>
            <w:pPr>
              <w:jc w:val="center"/>
            </w:pPr>
            <w:r>
              <w:rPr>
                <w:rFonts w:ascii="Plus Jakarta Sans" w:cs="Plus Jakarta Sans" w:eastAsia="Plus Jakarta Sans" w:hAnsi="Plus Jakarta Sans"/>
                <w:b w:val="false"/>
                <w:bCs w:val="false"/>
                <w:color w:val="444444"/>
                <w:sz w:val="22"/>
                <w:szCs w:val="22"/>
              </w:rPr>
              <w:t xml:space="preserve"/>
            </w:r>
          </w:p>
        </w:tc>
      </w:tr>
    </w:tbl>
    <w:p>
      <w:pPr>
        <w:pStyle w:val="Heading2"/>
        <w:spacing w:after="120" w:before="320"/>
      </w:pPr>
      <w:r>
        <w:rPr>
          <w:rFonts w:ascii="Playfair Display" w:cs="Playfair Display" w:eastAsia="Playfair Display" w:hAnsi="Playfair Display"/>
          <w:b/>
          <w:bCs/>
          <w:color w:val="0c9d7c"/>
          <w:sz w:val="28"/>
          <w:szCs w:val="28"/>
        </w:rPr>
        <w:t xml:space="preserve">Mandatory vs optional, by skill</w:t>
      </w:r>
    </w:p>
    <w:p>
      <w:pPr>
        <w:spacing w:after="70" w:before="70"/>
      </w:pPr>
      <w:r>
        <w:rPr>
          <w:rFonts w:ascii="Plus Jakarta Sans" w:cs="Plus Jakarta Sans" w:eastAsia="Plus Jakarta Sans" w:hAnsi="Plus Jakarta Sans"/>
          <w:b/>
          <w:bCs/>
          <w:i w:val="false"/>
          <w:iCs w:val="false"/>
          <w:color w:val="444444"/>
          <w:sz w:val="20"/>
          <w:szCs w:val="20"/>
        </w:rPr>
        <w:t xml:space="preserve">S1 — Proof Check</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Mandatory: Ward Rules Checklist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Optional: brand Approved Terms — if missing, the terminology category is skipped and the header notes the fall-back; the other four categories still run.</w:t>
      </w:r>
    </w:p>
    <w:p>
      <w:pPr>
        <w:spacing w:after="70" w:before="70"/>
      </w:pPr>
      <w:r>
        <w:rPr>
          <w:rFonts w:ascii="Plus Jakarta Sans" w:cs="Plus Jakarta Sans" w:eastAsia="Plus Jakarta Sans" w:hAnsi="Plus Jakarta Sans"/>
          <w:b/>
          <w:bCs/>
          <w:i w:val="false"/>
          <w:iCs w:val="false"/>
          <w:color w:val="444444"/>
          <w:sz w:val="20"/>
          <w:szCs w:val="20"/>
        </w:rPr>
        <w:t xml:space="preserve">S2 — Reference &amp; Claim Checker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Mandatory: brand Approved Claims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Optional: Ward References Style — if missing, the Format inconsistency category is skipped and the header notes that citation format checks were partial.</w:t>
      </w:r>
    </w:p>
    <w:p>
      <w:pPr>
        <w:spacing w:after="70" w:before="70"/>
      </w:pPr>
      <w:r>
        <w:rPr>
          <w:rFonts w:ascii="Plus Jakarta Sans" w:cs="Plus Jakarta Sans" w:eastAsia="Plus Jakarta Sans" w:hAnsi="Plus Jakarta Sans"/>
          <w:b/>
          <w:bCs/>
          <w:i w:val="false"/>
          <w:iCs w:val="false"/>
          <w:color w:val="444444"/>
          <w:sz w:val="20"/>
          <w:szCs w:val="20"/>
        </w:rPr>
        <w:t xml:space="preserve">S3 — Document Element Extractor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Loads no reference files — it works on the uploaded document only.</w:t>
      </w:r>
    </w:p>
    <w:p>
      <w:pPr>
        <w:spacing w:after="70" w:before="70"/>
      </w:pPr>
      <w:r>
        <w:rPr>
          <w:rFonts w:ascii="Plus Jakarta Sans" w:cs="Plus Jakarta Sans" w:eastAsia="Plus Jakarta Sans" w:hAnsi="Plus Jakarta Sans"/>
          <w:b/>
          <w:bCs/>
          <w:i w:val="false"/>
          <w:iCs w:val="false"/>
          <w:color w:val="444444"/>
          <w:sz w:val="20"/>
          <w:szCs w:val="20"/>
        </w:rPr>
        <w:t xml:space="preserve">S4 — Email Drafter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Mandatory: brand Approved Claims; brand Approved Terms; Ward House Style; Ward References Style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Optional: brand Email Templates (built-in standard template if missing); Ward Voice &amp; Tone (default register if missing); brand Audiences (standard HCP archetypes if missing)</w:t>
      </w:r>
    </w:p>
    <w:p>
      <w:pPr>
        <w:spacing w:after="70" w:before="70"/>
      </w:pPr>
      <w:r>
        <w:rPr>
          <w:rFonts w:ascii="Plus Jakarta Sans" w:cs="Plus Jakarta Sans" w:eastAsia="Plus Jakarta Sans" w:hAnsi="Plus Jakarta Sans"/>
          <w:b/>
          <w:bCs/>
          <w:i w:val="false"/>
          <w:iCs w:val="false"/>
          <w:color w:val="444444"/>
          <w:sz w:val="20"/>
          <w:szCs w:val="20"/>
        </w:rPr>
        <w:t xml:space="preserve">S5 — Word Document Formatter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Mandatory: brand Brand Values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Optional: none — the visual spec is baked into the skill</w:t>
      </w:r>
    </w:p>
    <w:p>
      <w:pPr>
        <w:spacing w:after="70" w:before="70"/>
      </w:pPr>
      <w:r>
        <w:rPr>
          <w:rFonts w:ascii="Plus Jakarta Sans" w:cs="Plus Jakarta Sans" w:eastAsia="Plus Jakarta Sans" w:hAnsi="Plus Jakarta Sans"/>
          <w:b/>
          <w:bCs/>
          <w:i w:val="false"/>
          <w:iCs w:val="false"/>
          <w:color w:val="444444"/>
          <w:sz w:val="20"/>
          <w:szCs w:val="20"/>
        </w:rPr>
        <w:t xml:space="preserve">S6 — Approved Claims Library Builder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Loads no shared reference files. Inputs are one or more uploaded source documents (create mode) or the existing Approved Claims library (update mode); it produces the brand Approved Claims library that S2 and S4 then consume.</w:t>
      </w:r>
    </w:p>
    <w:p>
      <w:pPr>
        <w:pStyle w:val="Heading2"/>
        <w:spacing w:after="120" w:before="320"/>
      </w:pPr>
      <w:r>
        <w:rPr>
          <w:rFonts w:ascii="Playfair Display" w:cs="Playfair Display" w:eastAsia="Playfair Display" w:hAnsi="Playfair Display"/>
          <w:b/>
          <w:bCs/>
          <w:color w:val="0c9d7c"/>
          <w:sz w:val="28"/>
          <w:szCs w:val="28"/>
        </w:rPr>
        <w:t xml:space="preserve">Where each skill loads from</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S1, S2, S4 and S5 load from the shared Skill references folder (S3 bucket) via get_skill_reference — deterministic, whole-file, no RAG.</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S3 loads nothing; it works on the input document.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S6 builds from uploaded source documents (and, in update mode, the existing library); it loads no shared references.</w:t>
      </w:r>
    </w:p>
    <w:p>
      <w:pPr>
        <w:pStyle w:val="Heading2"/>
        <w:spacing w:after="120" w:before="320"/>
      </w:pPr>
      <w:r>
        <w:rPr>
          <w:rFonts w:ascii="Playfair Display" w:cs="Playfair Display" w:eastAsia="Playfair Display" w:hAnsi="Playfair Display"/>
          <w:b/>
          <w:bCs/>
          <w:color w:val="0c9d7c"/>
          <w:sz w:val="28"/>
          <w:szCs w:val="28"/>
        </w:rPr>
        <w:t xml:space="preserve">Notes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House Style and References Style are not loaded by Proof Check at runtime — they are the human-maintenance sources for the Rules Checklist. A rule in the docx but not the checklist is not enforced.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S2's References Style file controls only the Format inconsistency category. The brand's Approved Claims library is what the skill cannot run without.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S1's Approved Terms file controls only the Terminology category. If absent, S1 still runs spelling, punctuation, style and reference-formatting checks.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S4 and S5 now load from the shared Skill references folder (the earlier per-brand / brand-KB RAG approach is retired). Skills detect the brand at runtime; there are no per-brand skill variants.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S4 drafts in a built-in standard email template by default; a VAE or eWizard template is used only when the writer requests it and the brand's Email Templates file supplies it. VAE and eWizard structural conventions are documented in the platform reference notes (VAE Email Conventions, eWizard Email Conventions).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S5's visual spec is baked into the skill, not held in a document; it loads only the brand's Brand Values file. Ward 6 has no visual spec yet, so Ward 6 jobs borrow the Ward 7 spec.</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Brand files use Title Case with spaces (e.g. Kisqali Approved Claims.docx, Kisqali Approved Terms.md, Kisqali Brand Values.md).</w:t>
      </w:r>
    </w:p>
    <w:p>
      <w:pPr>
        <w:pStyle w:val="Heading2"/>
        <w:spacing w:after="120" w:before="320"/>
      </w:pPr>
      <w:r>
        <w:rPr>
          <w:rFonts w:ascii="Playfair Display" w:cs="Playfair Display" w:eastAsia="Playfair Display" w:hAnsi="Playfair Display"/>
          <w:b/>
          <w:bCs/>
          <w:color w:val="0c9d7c"/>
          <w:sz w:val="28"/>
          <w:szCs w:val="28"/>
        </w:rPr>
        <w:t xml:space="preserve">Documents not yet used by any built skill</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Compliance &amp; Regulatory Framing, Digital Writing, Production Workflow, and the Style Architecture &amp; Skill Map are reference, proposed or future material — not consumed by any built skill yet.</w:t>
      </w:r>
    </w:p>
    <w:p>
      <w:pPr>
        <w:pStyle w:val="Heading2"/>
        <w:spacing w:after="120" w:before="320"/>
      </w:pPr>
      <w:r>
        <w:rPr>
          <w:rFonts w:ascii="Playfair Display" w:cs="Playfair Display" w:eastAsia="Playfair Display" w:hAnsi="Playfair Display"/>
          <w:b/>
          <w:bCs/>
          <w:color w:val="0c9d7c"/>
          <w:sz w:val="28"/>
          <w:szCs w:val="28"/>
        </w:rPr>
        <w:t xml:space="preserve">Brands in scope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Ward 6: Maviret, Veltassa</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Ward 7: Kesimpta, Kisqali</w:t>
      </w:r>
    </w:p>
    <w:p>
      <w:pPr>
        <w:pStyle w:val="Heading2"/>
        <w:spacing w:after="120" w:before="320"/>
      </w:pPr>
      <w:r>
        <w:rPr>
          <w:rFonts w:ascii="Playfair Display" w:cs="Playfair Display" w:eastAsia="Playfair Display" w:hAnsi="Playfair Display"/>
          <w:b/>
          <w:bCs/>
          <w:color w:val="0c9d7c"/>
          <w:sz w:val="28"/>
          <w:szCs w:val="28"/>
        </w:rPr>
        <w:t xml:space="preserve">Change log</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27 May 2026: Initial version: six-document house style, Rules Checklists and brand Approved Terms consolidated into Skill References; brand Approved Claims + References Style consolidated; Skill 5 Brand Values added (template + four per-brand files).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27 May 2026 (update): S4 (Email Drafter) and S5 (Word Document Formatter) consolidated to single brand-agnostic skills loading from the shared Skill references folder via get_skill_reference. S4: Email Templates, Voice &amp; Tone and Audiences made optional with fall-backs (built-in standard template / default register / archetypes); only Approved Claims, Approved Terms, House Style and References Style remain mandatory. S6 (Approved Claims Library Builder) added — produces the brand Approved Claims library. Brand Values files renamed to Title Case (Kisqali Brand Values.md, etc.) to match the other reference files; skills, docs and website updated. New Lambda render tools (render_email_draft, render_formatted_document, render_approved_claims) built and pending deploy + gateway re-sync.</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29 May 2026 (correction): S1 Approved Terms reclassified ●→◐ (optional). When the file is missing, S1 skips terminology checks and continues with the other four categories. S2 References Style reclassified ●→◐ (optional). When the file is missing, S2 skips the Format inconsistency category and notes citation format checks were partial. The earlier matrix overstated both as mandatory; per-skill SKILL.md and the audit confirm graceful fallback in both cases.</w:t>
      </w:r>
    </w:p>
    <w:sectPr>
      <w:footerReference w:type="default" r:id="rId8"/>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2" w:space="6"/>
      </w:pBd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0" w:before="0"/>
            <w:jc w:val="left"/>
          </w:pPr>
          <w:r>
            <w:rPr>
              <w:rFonts w:ascii="Plus Jakarta Sans" w:cs="Plus Jakarta Sans" w:eastAsia="Plus Jakarta Sans" w:hAnsi="Plus Jakarta Sans"/>
              <w:color w:val="888888"/>
              <w:sz w:val="16"/>
              <w:szCs w:val="16"/>
            </w:rPr>
            <w:fldChar w:fldCharType="begin"/>
            <w:instrText xml:space="preserve">PAGE</w:instrText>
            <w:fldChar w:fldCharType="separate"/>
            <w:fldChar w:fldCharType="end"/>
          </w:r>
        </w:p>
      </w:tc>
      <w:tc>
        <w:tcPr>
          <w:tcW w:type="dxa" w:w="4680"/>
          <w:tcBorders>
            <w:top w:val="none" w:color="FFFFFF" w:sz="0"/>
            <w:left w:val="none" w:color="FFFFFF" w:sz="0"/>
            <w:bottom w:val="none" w:color="FFFFFF" w:sz="0"/>
            <w:right w:val="none" w:color="FFFFFF" w:sz="0"/>
          </w:tcBorders>
        </w:tcPr>
        <w:p>
          <w:pPr>
            <w:spacing w:after="0" w:before="0"/>
            <w:jc w:val="right"/>
          </w:pPr>
          <w:r>
            <w:drawing>
              <wp:inline distT="0" distB="0" distL="0" distR="0">
                <wp:extent cx="10668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180975"/>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lus Jakarta Sans" w:cs="Plus Jakarta Sans" w:eastAsia="Plus Jakarta Sans" w:hAnsi="Plus Jakarta Sans"/>
        <w:color w:val="0c9d7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00"/>
      <w:outlineLvl w:val="0"/>
    </w:pPr>
    <w:rPr>
      <w:rFonts w:ascii="Playfair Display" w:cs="Playfair Display" w:eastAsia="Playfair Display" w:hAnsi="Playfair Display"/>
      <w:b/>
      <w:bCs/>
      <w:color w:val="0d0d0d"/>
      <w:sz w:val="40"/>
      <w:szCs w:val="40"/>
    </w:rPr>
  </w:style>
  <w:style w:type="paragraph" w:styleId="Heading2">
    <w:name w:val="Heading 2"/>
    <w:basedOn w:val="Normal"/>
    <w:next w:val="Normal"/>
    <w:qFormat/>
    <w:pPr>
      <w:spacing w:after="120" w:before="320"/>
      <w:outlineLvl w:val="1"/>
    </w:pPr>
    <w:rPr>
      <w:rFonts w:ascii="Playfair Display" w:cs="Playfair Display" w:eastAsia="Playfair Display" w:hAnsi="Playfair Display"/>
      <w:b/>
      <w:bCs/>
      <w:color w:val="0c9d7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b349644d2b616a807d42ccd177c7944ddc160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Relationship Id="rId0" Type="http://schemas.openxmlformats.org/officeDocument/2006/relationships/image" Target="media/04c4595c48c0633310bb212a99725f20a0d0a05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2026-05-29T02:51:57.999Z</dcterms:created>
  <dcterms:modified xsi:type="dcterms:W3CDTF">2026-05-29T02:51:57.999Z</dcterms:modified>
</cp:coreProperties>
</file>

<file path=docProps/custom.xml><?xml version="1.0" encoding="utf-8"?>
<Properties xmlns="http://schemas.openxmlformats.org/officeDocument/2006/custom-properties" xmlns:vt="http://schemas.openxmlformats.org/officeDocument/2006/docPropsVTypes"/>
</file>