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12240"/>
      </w:tblGrid>
      <w:tr>
        <w:tc>
          <w:tcPr>
            <w:tcW w:type="dxa" w:w="12240"/>
            <w:tcBorders>
              <w:top w:val="none" w:color="FFFFFF" w:sz="0"/>
              <w:left w:val="none" w:color="FFFFFF" w:sz="0"/>
              <w:bottom w:val="none" w:color="FFFFFF" w:sz="0"/>
              <w:right w:val="none" w:color="FFFFFF" w:sz="0"/>
            </w:tcBorders>
            <w:shd w:fill="0d0d0d" w:val="clear"/>
            <w:tcMar>
              <w:top w:type="dxa" w:w="1000"/>
              <w:left w:type="dxa" w:w="1000"/>
              <w:bottom w:type="dxa" w:w="1000"/>
              <w:right w:type="dxa" w:w="1000"/>
            </w:tcMar>
            <w:vAlign w:val="top"/>
          </w:tcPr>
          <w:p>
            <w:pPr>
              <w:spacing w:after="0" w:before="0"/>
              <w:jc w:val="left"/>
            </w:pPr>
            <w:r>
              <w:drawing>
                <wp:inline distT="0" distB="0" distL="0" distR="0">
                  <wp:extent cx="1714500" cy="295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295275"/>
                          </a:xfrm>
                          <a:prstGeom prst="rect">
                            <a:avLst/>
                          </a:prstGeom>
                        </pic:spPr>
                      </pic:pic>
                    </a:graphicData>
                  </a:graphic>
                </wp:inline>
              </w:drawing>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100" w:before="0"/>
              <w:jc w:val="left"/>
            </w:pPr>
            <w:r>
              <w:rPr>
                <w:rFonts w:ascii="Playfair Display" w:cs="Playfair Display" w:eastAsia="Playfair Display" w:hAnsi="Playfair Display"/>
                <w:b/>
                <w:bCs/>
                <w:i w:val="false"/>
                <w:iCs w:val="false"/>
                <w:color w:val="FFFFFF"/>
                <w:sz w:val="48"/>
                <w:szCs w:val="48"/>
              </w:rPr>
              <w:t xml:space="preserve">TWMG</w:t>
            </w:r>
          </w:p>
          <w:p>
            <w:pPr>
              <w:spacing w:after="80" w:before="0"/>
              <w:jc w:val="left"/>
            </w:pPr>
            <w:r>
              <w:rPr>
                <w:rFonts w:ascii="Playfair Display" w:cs="Playfair Display" w:eastAsia="Playfair Display" w:hAnsi="Playfair Display"/>
                <w:b w:val="false"/>
                <w:bCs w:val="false"/>
                <w:i w:val="false"/>
                <w:iCs w:val="false"/>
                <w:color w:val="50e3c2"/>
                <w:sz w:val="36"/>
                <w:szCs w:val="36"/>
              </w:rPr>
              <w:t xml:space="preserve">Ward 6 Reference and Claim Checker</w:t>
            </w:r>
          </w:p>
          <w:p>
            <w:pPr>
              <w:pBdr>
                <w:bottom w:val="single" w:color="0c9d7c" w:sz="3" w:space="6"/>
              </w:pBdr>
              <w:spacing w:after="160" w:before="0"/>
            </w:pPr>
            <w:r>
              <w:rPr>
                <w:rFonts w:ascii="Plus Jakarta Sans" w:cs="Plus Jakarta Sans" w:eastAsia="Plus Jakarta Sans" w:hAnsi="Plus Jakarta Sans"/>
                <w:i/>
                <w:iCs/>
                <w:color w:val="888888"/>
                <w:sz w:val="19"/>
                <w:szCs w:val="19"/>
              </w:rPr>
              <w:t xml:space="preserve">Skill documentation · Ward 6 AI Pilot</w:t>
            </w:r>
          </w:p>
          <w:p>
            <w:pPr>
              <w:spacing w:after="80" w:before="0"/>
            </w:pPr>
            <w:r>
              <w:rPr>
                <w:color w:val="0d0d0d"/>
                <w:sz w:val="20"/>
                <w:szCs w:val="20"/>
              </w:rPr>
              <w:t xml:space="preserve"> </w:t>
            </w:r>
          </w:p>
          <w:p>
            <w:pPr>
              <w:spacing w:after="80" w:before="0"/>
              <w:jc w:val="left"/>
            </w:pPr>
            <w:r>
              <w:rPr>
                <w:rFonts w:ascii="Plus Jakarta Sans" w:cs="Plus Jakarta Sans" w:eastAsia="Plus Jakarta Sans" w:hAnsi="Plus Jakarta Sans"/>
                <w:b w:val="false"/>
                <w:bCs w:val="false"/>
                <w:i/>
                <w:iCs/>
                <w:color w:val="888888"/>
                <w:sz w:val="17"/>
                <w:szCs w:val="17"/>
              </w:rPr>
              <w:t xml:space="preserve">Version 4.0  ·  May 2026</w:t>
            </w:r>
          </w:p>
        </w:tc>
      </w:tr>
    </w:tbl>
    <w:p>
      <w:pPr>
        <w:sectPr>
          <w:footerReference w:type="default" r:id="rId7"/>
          <w:type w:val="nextPage"/>
          <w:pgSz w:w="12240" w:h="15840" w:orient="portrait"/>
          <w:pgMar w:top="0" w:right="0" w:bottom="0" w:left="0" w:header="708" w:footer="708" w:gutter="0"/>
          <w:pgNumType/>
          <w:docGrid w:linePitch="360"/>
        </w:sectPr>
      </w:pP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What's new in this version</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This is version 4 of the Ward 6 Reference and Claim Checker documentation. The skill renders the report through a structured path that makes it deterministic. An earlier approach assembled the whole report as markdown and sent it to the shared export_docx Lambda. The model sometimes varied how it built that markdown, the flagged span could only be bolded (the old path could not highlight text), and repeated issues did not always collapse to a single entry the same way each run. The current version removes that variability by sending structured data, not prose.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headline changes:</w:t>
      </w:r>
    </w:p>
    <w:p>
      <w:pPr>
        <w:pStyle w:val="ListParagraph"/>
        <w:numPr>
          <w:ilvl w:val="0"/>
          <w:numId w:val="2"/>
        </w:numPr>
        <w:spacing w:after="40" w:before="40"/>
      </w:pPr>
      <w:r>
        <w:rPr>
          <w:rFonts w:ascii="Plus Jakarta Sans" w:cs="Plus Jakarta Sans" w:eastAsia="Plus Jakarta Sans" w:hAnsi="Plus Jakarta Sans"/>
          <w:b/>
          <w:bCs/>
          <w:i w:val="false"/>
          <w:iCs w:val="false"/>
          <w:color w:val="444444"/>
          <w:sz w:val="20"/>
          <w:szCs w:val="20"/>
        </w:rPr>
        <w:t xml:space="preserve">Structured rendering tool.</w:t>
      </w:r>
      <w:r>
        <w:rPr>
          <w:rFonts w:ascii="Plus Jakarta Sans" w:cs="Plus Jakarta Sans" w:eastAsia="Plus Jakarta Sans" w:hAnsi="Plus Jakarta Sans"/>
          <w:b w:val="false"/>
          <w:bCs w:val="false"/>
          <w:i w:val="false"/>
          <w:iCs w:val="false"/>
          <w:color w:val="444444"/>
          <w:sz w:val="20"/>
          <w:szCs w:val="20"/>
        </w:rPr>
        <w:t xml:space="preserve"> The Word document is now produced by a dedicated Lambda tool, render_findings_report, which accepts only structured data and has no free-text field. The skill emits its findings as a JSON items array (plus judgment_notes and audit rows). The Lambda owns the entire layout: item numbering, the totals line, the confidence badges, the highlighting, the consolidation, and the audit table. The skill no longer composes the report itself.</w:t>
      </w:r>
    </w:p>
    <w:p>
      <w:pPr>
        <w:pStyle w:val="ListParagraph"/>
        <w:numPr>
          <w:ilvl w:val="0"/>
          <w:numId w:val="2"/>
        </w:numPr>
        <w:spacing w:after="40" w:before="40"/>
      </w:pPr>
      <w:r>
        <w:rPr>
          <w:rFonts w:ascii="Plus Jakarta Sans" w:cs="Plus Jakarta Sans" w:eastAsia="Plus Jakarta Sans" w:hAnsi="Plus Jakarta Sans"/>
          <w:b/>
          <w:bCs/>
          <w:i w:val="false"/>
          <w:iCs w:val="false"/>
          <w:color w:val="444444"/>
          <w:sz w:val="20"/>
          <w:szCs w:val="20"/>
        </w:rPr>
        <w:t xml:space="preserve">Deterministic consolidation.</w:t>
      </w:r>
      <w:r>
        <w:rPr>
          <w:rFonts w:ascii="Plus Jakarta Sans" w:cs="Plus Jakarta Sans" w:eastAsia="Plus Jakarta Sans" w:hAnsi="Plus Jakarta Sans"/>
          <w:b w:val="false"/>
          <w:bCs w:val="false"/>
          <w:i w:val="false"/>
          <w:iCs w:val="false"/>
          <w:color w:val="444444"/>
          <w:sz w:val="20"/>
          <w:szCs w:val="20"/>
        </w:rPr>
        <w:t xml:space="preserve"> Every finding carries a grouping key (rule_id). The Lambda merges all findings that share a key into one consolidated entry, lists each instance, renumbers, and recomputes the totals, identically on every run. The in-prompt consolidation step that varied run-to-run has been removed. This is what makes the headline counts stable.</w:t>
      </w:r>
    </w:p>
    <w:p>
      <w:pPr>
        <w:pStyle w:val="ListParagraph"/>
        <w:numPr>
          <w:ilvl w:val="0"/>
          <w:numId w:val="2"/>
        </w:numPr>
        <w:spacing w:after="40" w:before="40"/>
      </w:pPr>
      <w:r>
        <w:rPr>
          <w:rFonts w:ascii="Plus Jakarta Sans" w:cs="Plus Jakarta Sans" w:eastAsia="Plus Jakarta Sans" w:hAnsi="Plus Jakarta Sans"/>
          <w:b/>
          <w:bCs/>
          <w:i w:val="false"/>
          <w:iCs w:val="false"/>
          <w:color w:val="444444"/>
          <w:sz w:val="20"/>
          <w:szCs w:val="20"/>
        </w:rPr>
        <w:t xml:space="preserve">Real yellow highlighting.</w:t>
      </w:r>
      <w:r>
        <w:rPr>
          <w:rFonts w:ascii="Plus Jakarta Sans" w:cs="Plus Jakarta Sans" w:eastAsia="Plus Jakarta Sans" w:hAnsi="Plus Jakarta Sans"/>
          <w:b w:val="false"/>
          <w:bCs w:val="false"/>
          <w:i w:val="false"/>
          <w:iCs w:val="false"/>
          <w:color w:val="444444"/>
          <w:sz w:val="20"/>
          <w:szCs w:val="20"/>
        </w:rPr>
        <w:t xml:space="preserve"> The flagged span inside each context snippet is now highlighted in yellow, rendered natively by the Lambda, and the confidence level is shown as a shaded badge rather than plain text. Earlier versions bolded the span because the old path could not highlight.</w:t>
      </w:r>
    </w:p>
    <w:p>
      <w:pPr>
        <w:pStyle w:val="ListParagraph"/>
        <w:numPr>
          <w:ilvl w:val="0"/>
          <w:numId w:val="2"/>
        </w:numPr>
        <w:spacing w:after="40" w:before="40"/>
      </w:pPr>
      <w:r>
        <w:rPr>
          <w:rFonts w:ascii="Plus Jakarta Sans" w:cs="Plus Jakarta Sans" w:eastAsia="Plus Jakarta Sans" w:hAnsi="Plus Jakarta Sans"/>
          <w:b/>
          <w:bCs/>
          <w:i w:val="false"/>
          <w:iCs w:val="false"/>
          <w:color w:val="444444"/>
          <w:sz w:val="20"/>
          <w:szCs w:val="20"/>
        </w:rPr>
        <w:t xml:space="preserve">Per-item detail lines.</w:t>
      </w:r>
      <w:r>
        <w:rPr>
          <w:rFonts w:ascii="Plus Jakarta Sans" w:cs="Plus Jakarta Sans" w:eastAsia="Plus Jakarta Sans" w:hAnsi="Plus Jakarta Sans"/>
          <w:b w:val="false"/>
          <w:bCs w:val="false"/>
          <w:i w:val="false"/>
          <w:iCs w:val="false"/>
          <w:color w:val="444444"/>
          <w:sz w:val="20"/>
          <w:szCs w:val="20"/>
        </w:rPr>
        <w:t xml:space="preserve"> Each item carries an ordered set of labelled metadata lines (Matched library entry, Cited in document, Library expects, Suggested action), rendered by the Lambda under the issue. Fields that do not apply show an em rule placeholder.</w:t>
      </w:r>
    </w:p>
    <w:p>
      <w:pPr>
        <w:pStyle w:val="ListParagraph"/>
        <w:numPr>
          <w:ilvl w:val="0"/>
          <w:numId w:val="2"/>
        </w:numPr>
        <w:spacing w:after="40" w:before="40"/>
      </w:pPr>
      <w:r>
        <w:rPr>
          <w:rFonts w:ascii="Plus Jakarta Sans" w:cs="Plus Jakarta Sans" w:eastAsia="Plus Jakarta Sans" w:hAnsi="Plus Jakarta Sans"/>
          <w:b/>
          <w:bCs/>
          <w:i w:val="false"/>
          <w:iCs w:val="false"/>
          <w:color w:val="444444"/>
          <w:sz w:val="20"/>
          <w:szCs w:val="20"/>
        </w:rPr>
        <w:t xml:space="preserve">Six categories fixed at the totals line.</w:t>
      </w:r>
      <w:r>
        <w:rPr>
          <w:rFonts w:ascii="Plus Jakarta Sans" w:cs="Plus Jakarta Sans" w:eastAsia="Plus Jakarta Sans" w:hAnsi="Plus Jakarta Sans"/>
          <w:b w:val="false"/>
          <w:bCs w:val="false"/>
          <w:i w:val="false"/>
          <w:iCs w:val="false"/>
          <w:color w:val="444444"/>
          <w:sz w:val="20"/>
          <w:szCs w:val="20"/>
        </w:rPr>
        <w:t xml:space="preserve"> The skill passes the six categories explicitly, so the totals line always lists all six in a fixed order with 0 shown where a category has none.</w:t>
      </w:r>
    </w:p>
    <w:p>
      <w:pPr>
        <w:pStyle w:val="ListParagraph"/>
        <w:numPr>
          <w:ilvl w:val="0"/>
          <w:numId w:val="2"/>
        </w:numPr>
        <w:spacing w:after="40" w:before="40"/>
      </w:pPr>
      <w:r>
        <w:rPr>
          <w:rFonts w:ascii="Plus Jakarta Sans" w:cs="Plus Jakarta Sans" w:eastAsia="Plus Jakarta Sans" w:hAnsi="Plus Jakarta Sans"/>
          <w:b/>
          <w:bCs/>
          <w:i w:val="false"/>
          <w:iCs w:val="false"/>
          <w:color w:val="444444"/>
          <w:sz w:val="20"/>
          <w:szCs w:val="20"/>
        </w:rPr>
        <w:t xml:space="preserve">Own-skill footer disclaimer.</w:t>
      </w:r>
      <w:r>
        <w:rPr>
          <w:rFonts w:ascii="Plus Jakarta Sans" w:cs="Plus Jakarta Sans" w:eastAsia="Plus Jakarta Sans" w:hAnsi="Plus Jakarta Sans"/>
          <w:b w:val="false"/>
          <w:bCs w:val="false"/>
          <w:i w:val="false"/>
          <w:iCs w:val="false"/>
          <w:color w:val="444444"/>
          <w:sz w:val="20"/>
          <w:szCs w:val="20"/>
        </w:rPr>
        <w:t xml:space="preserve"> The skill stamps its own footer text, so the reference-and-claim-check report carries reference-and-claim-check wording rather than the proof-check default.</w:t>
      </w:r>
    </w:p>
    <w:p>
      <w:pPr>
        <w:pStyle w:val="Heading2"/>
        <w:spacing w:after="120" w:before="320"/>
      </w:pPr>
      <w:r>
        <w:rPr>
          <w:rFonts w:ascii="Playfair Display" w:cs="Playfair Display" w:eastAsia="Playfair Display" w:hAnsi="Playfair Display"/>
          <w:b/>
          <w:bCs/>
          <w:color w:val="0c9d7c"/>
          <w:sz w:val="28"/>
          <w:szCs w:val="28"/>
        </w:rPr>
        <w:t xml:space="preserve">What you'll notice in the output</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Each item now has a metadata line (item number, page, position, category), a shaded confidence badge, a blockquoted context snippet with the flagged span highlighted in yellow, a one-sentence issue, the labelled detail lines, and an italic cited-rule line. The document opens with a header box and a Totals line covering all six categories, and ends with the Audit table. Because consolidation is deterministic, the same draft produces the same headline counts on every run.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3"/>
              <w:left w:val="single" w:color="1565C0" w:sz="20"/>
              <w:bottom w:val="single" w:color="1565C0" w:sz="3"/>
              <w:right w:val="single" w:color="1565C0" w:sz="3"/>
            </w:tcBorders>
            <w:shd w:fill="EEF4FB" w:val="clear"/>
            <w:tcMar>
              <w:top w:type="dxa" w:w="140"/>
              <w:left w:type="dxa" w:w="220"/>
              <w:bottom w:type="dxa" w:w="140"/>
              <w:right w:type="dxa" w:w="220"/>
            </w:tcMar>
          </w:tcPr>
          <w:p>
            <w:r>
              <w:rPr>
                <w:rFonts w:ascii="Plus Jakarta Sans" w:cs="Plus Jakarta Sans" w:eastAsia="Plus Jakarta Sans" w:hAnsi="Plus Jakarta Sans"/>
                <w:b/>
                <w:bCs/>
                <w:color w:val="1565C0"/>
                <w:sz w:val="19"/>
                <w:szCs w:val="19"/>
              </w:rPr>
              <w:t xml:space="preserve">Worth knowing:  </w:t>
            </w:r>
            <w:r>
              <w:rPr>
                <w:rFonts w:ascii="Plus Jakarta Sans" w:cs="Plus Jakarta Sans" w:eastAsia="Plus Jakarta Sans" w:hAnsi="Plus Jakarta Sans"/>
                <w:i/>
                <w:iCs/>
                <w:color w:val="1A3A5C"/>
                <w:sz w:val="19"/>
                <w:szCs w:val="19"/>
              </w:rPr>
              <w:t xml:space="preserve">This is a working pilot. The skill produces a useful pre-MLR read, but the medical writer remains responsible for every editorial decision and the team remains responsible for every library update. The report is a structured second read, not a substitute for MLR review.</w:t>
            </w:r>
          </w:p>
        </w:tc>
      </w:tr>
    </w:tbl>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Overview</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Ward 6 Reference and Claim Checker cross-checks every substantive product assertion in a draft document against an approved claims library and flags issues for MLR prep. The output is a Word document the writer reviews before sending the draft to Medical, Legal, and Regulatory.</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This is the Ward 6 version of the skill, packaged for Ward 6 brand silos. A separate Ward 7 version exists for brands on that ward's style. Upload only the matching version per brand silo.</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It is review-only. It identifies and locates issues. It does not rewrite content, propose alternative claim phrasings, or modify the library. The writer makes every editorial decision. The team makes every library update.</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Scope</w:t>
      </w:r>
    </w:p>
    <w:p>
      <w:pPr>
        <w:pStyle w:val="Heading2"/>
        <w:spacing w:after="120" w:before="320"/>
      </w:pPr>
      <w:r>
        <w:rPr>
          <w:rFonts w:ascii="Playfair Display" w:cs="Playfair Display" w:eastAsia="Playfair Display" w:hAnsi="Playfair Display"/>
          <w:b/>
          <w:bCs/>
          <w:color w:val="0c9d7c"/>
          <w:sz w:val="28"/>
          <w:szCs w:val="28"/>
        </w:rPr>
        <w:t xml:space="preserve">In scope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One draft document per run, PDF or .docx. The runtime extracts the document text natively for both formats, and page references are the physical page numbers the runtime reports.</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Cross-checking every substantive product assertion (efficacy, safety, tolerability, mechanism of action, access, comparator) against the loaded brand's approved claims library.</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Reference accuracy: confirming the references cited at each claim match the library's expected references on key fields (year plus at least one of study name, first author surname, or journal).</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Qualifier presence: confirming any qualifier the library requires is present near the claim, including paraphrased forms that name the trial.</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Channel restriction: confirming each matched claim is used in a channel its library entry approves. The user names the channel (HCP, Patient, or Mixed) at run time.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Disallowed claims: matching document statements against patterns in the library's Claims Not Approved section.</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Within-document citation format consistency: the same reference cited the same way every time it appears.</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Two-pronged brand detection at run time (auto-detect from brand KB filenames, fall back to asking).</w:t>
      </w:r>
    </w:p>
    <w:p>
      <w:pPr>
        <w:pStyle w:val="Heading2"/>
        <w:spacing w:after="120" w:before="320"/>
      </w:pPr>
      <w:r>
        <w:rPr>
          <w:rFonts w:ascii="Playfair Display" w:cs="Playfair Display" w:eastAsia="Playfair Display" w:hAnsi="Playfair Display"/>
          <w:b/>
          <w:bCs/>
          <w:color w:val="0c9d7c"/>
          <w:sz w:val="28"/>
          <w:szCs w:val="28"/>
        </w:rPr>
        <w:t xml:space="preserve">Out of scope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Suggesting corrections, alternative claim phrasings, or rewriting any flagged text.</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Editing the source draft or the claims library.</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General spelling, punctuation, house-style, and terminology checking. These belong to the Proof Check skill.</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Content extraction. Handled by the Document Element Extractor skill, plus separate library maintenance by the team.</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Multi-document batch checks across more than one draft per run.</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Scanned PDFs without a text layer.</w:t>
      </w:r>
    </w:p>
    <w:p>
      <w:pPr>
        <w:pStyle w:val="Heading2"/>
        <w:spacing w:after="120" w:before="320"/>
      </w:pPr>
      <w:r>
        <w:rPr>
          <w:rFonts w:ascii="Playfair Display" w:cs="Playfair Display" w:eastAsia="Playfair Display" w:hAnsi="Playfair Display"/>
          <w:b/>
          <w:bCs/>
          <w:color w:val="0c9d7c"/>
          <w:sz w:val="28"/>
          <w:szCs w:val="28"/>
        </w:rPr>
        <w:t xml:space="preserve">The six output categories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Every flagged item is assigned to exactly one of six categories. The skill passes this list to the Lambda as the categories argument, so the totals line always shows all six in this order.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Category</w:t>
            </w:r>
          </w:p>
        </w:tc>
        <w:tc>
          <w:tcPr>
            <w:tcW w:type="dxa" w:w="676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What it covers</w:t>
            </w:r>
          </w:p>
        </w:tc>
      </w:tr>
      <w:tr>
        <w:tc>
          <w:tcPr>
            <w:tcW w:type="dxa" w:w="26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Missing reference</w:t>
            </w:r>
          </w:p>
        </w:tc>
        <w:tc>
          <w:tcPr>
            <w:tcW w:type="dxa" w:w="67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A statement matches a library entry but the document has no citation against it, or has fewer citations than the library specifies.</w:t>
            </w:r>
          </w:p>
        </w:tc>
      </w:tr>
      <w:tr>
        <w:tc>
          <w:tcPr>
            <w:tcW w:type="dxa" w:w="26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Mismatched citation</w:t>
            </w:r>
          </w:p>
        </w:tc>
        <w:tc>
          <w:tcPr>
            <w:tcW w:type="dxa" w:w="67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A matched statement has a citation, but the cited reference is not one of the library's approved references for that claim. Channel-restriction violations also surface here.</w:t>
            </w:r>
          </w:p>
        </w:tc>
      </w:tr>
      <w:tr>
        <w:tc>
          <w:tcPr>
            <w:tcW w:type="dxa" w:w="26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Missing qualifier</w:t>
            </w:r>
          </w:p>
        </w:tc>
        <w:tc>
          <w:tcPr>
            <w:tcW w:type="dxa" w:w="67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A matched statement is missing a qualifier the library requires.</w:t>
            </w:r>
          </w:p>
        </w:tc>
      </w:tr>
      <w:tr>
        <w:tc>
          <w:tcPr>
            <w:tcW w:type="dxa" w:w="26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Unknown claim</w:t>
            </w:r>
          </w:p>
        </w:tc>
        <w:tc>
          <w:tcPr>
            <w:tcW w:type="dxa" w:w="67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A substantive product assertion that does not match any library entry. Surfaced verbatim so the team can decide whether to add it to the library or remove it.</w:t>
            </w:r>
          </w:p>
        </w:tc>
      </w:tr>
      <w:tr>
        <w:tc>
          <w:tcPr>
            <w:tcW w:type="dxa" w:w="26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Disallowed claim</w:t>
            </w:r>
          </w:p>
        </w:tc>
        <w:tc>
          <w:tcPr>
            <w:tcW w:type="dxa" w:w="67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A statement matches a pattern in the library's Claims Not Approved section (superlatives, superiority without head-to-head, absence-of-side-effects, off-population extrapolation).</w:t>
            </w:r>
          </w:p>
        </w:tc>
      </w:tr>
      <w:tr>
        <w:tc>
          <w:tcPr>
            <w:tcW w:type="dxa" w:w="26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Format inconsistency</w:t>
            </w:r>
          </w:p>
        </w:tc>
        <w:tc>
          <w:tcPr>
            <w:tcW w:type="dxa" w:w="67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The same reference cited in two or more different formats across the document. Merged server-side into one entry listing every variant.</w:t>
            </w:r>
          </w:p>
        </w:tc>
      </w:tr>
    </w:tbl>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How it works</w:t>
      </w:r>
    </w:p>
    <w:p>
      <w:pPr>
        <w:pStyle w:val="Heading2"/>
        <w:spacing w:after="120" w:before="320"/>
      </w:pPr>
      <w:r>
        <w:rPr>
          <w:rFonts w:ascii="Playfair Display" w:cs="Playfair Display" w:eastAsia="Playfair Display" w:hAnsi="Playfair Display"/>
          <w:b/>
          <w:bCs/>
          <w:color w:val="0c9d7c"/>
          <w:sz w:val="28"/>
          <w:szCs w:val="28"/>
        </w:rPr>
        <w:t xml:space="preserve">Inputs and reference loading</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skill accepts a single draft document attached to the chat message, a PDF or a Word (.docx) file, and the runtime extracts its text natively. Reference content is loaded at runtime from the shared Skill references/ folder via get_skill_reference. Two files are required: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Filename</w:t>
            </w:r>
          </w:p>
        </w:tc>
        <w:tc>
          <w:tcPr>
            <w:tcW w:type="dxa" w:w="616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Purpose</w:t>
            </w:r>
          </w:p>
        </w:tc>
      </w:tr>
      <w:tr>
        <w:tc>
          <w:tcPr>
            <w:tcW w:type="dxa" w:w="32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Ward6 References Style.docx</w:t>
            </w:r>
          </w:p>
        </w:tc>
        <w:tc>
          <w:tcPr>
            <w:tcW w:type="dxa" w:w="61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The references style file. Loaded every run. Drives Format inconsistency detection.</w:t>
            </w:r>
          </w:p>
        </w:tc>
      </w:tr>
      <w:tr>
        <w:tc>
          <w:tcPr>
            <w:tcW w:type="dxa" w:w="32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&lt;Brand&gt; Approved Claims.docx</w:t>
            </w:r>
          </w:p>
        </w:tc>
        <w:tc>
          <w:tcPr>
            <w:tcW w:type="dxa" w:w="61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The brand-specific approved claims library. Loaded only after brand detection resolves a brand. Brand list: Veltassa and Maviret.</w:t>
            </w:r>
          </w:p>
        </w:tc>
      </w:tr>
    </w:tbl>
    <w:p>
      <w:pPr>
        <w:pStyle w:val="Heading2"/>
        <w:spacing w:after="120" w:before="320"/>
      </w:pPr>
      <w:r>
        <w:rPr>
          <w:rFonts w:ascii="Playfair Display" w:cs="Playfair Display" w:eastAsia="Playfair Display" w:hAnsi="Playfair Display"/>
          <w:b/>
          <w:bCs/>
          <w:color w:val="0c9d7c"/>
          <w:sz w:val="28"/>
          <w:szCs w:val="28"/>
        </w:rPr>
        <w:t xml:space="preserve">Brand detection</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Brand detection is two-pronged. Run before walking the source draft.</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Auto-detect from the brand-scoped knowledge base. Scan all filenames visible in the chat's brand-scoped knowledge base. For each filename, check whether it contains any of the supported brand names (case-insensitive). If exactly one matches, confirm it with the user.</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Fall back to asking the user. If zero or multiple brand names match, or the user rejects the detected brand, ask which brand the run is for. Accept the response case-insensitively.</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Load the matching Approved Claims file from Skill references/ via get_skill_reference. Parse it into per-claim blocks and a Claims Not Approved section.</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If the user cannot supply a supported brand, the skill aborts. It cannot run without a brand-matched claims library. The brand-scoped knowledge base is used only as a detection signal, never as a source of reference content.</w:t>
      </w:r>
    </w:p>
    <w:p>
      <w:pPr>
        <w:pStyle w:val="Heading2"/>
        <w:spacing w:after="120" w:before="320"/>
      </w:pPr>
      <w:r>
        <w:rPr>
          <w:rFonts w:ascii="Playfair Display" w:cs="Playfair Display" w:eastAsia="Playfair Display" w:hAnsi="Playfair Display"/>
          <w:b/>
          <w:bCs/>
          <w:color w:val="0c9d7c"/>
          <w:sz w:val="28"/>
          <w:szCs w:val="28"/>
        </w:rPr>
        <w:t xml:space="preserve">The matching approach</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For each substantive product assertion, the skill judges whether the statement expresses the same factual assertion as any Status: Approved library entry.</w:t>
      </w:r>
    </w:p>
    <w:p>
      <w:pPr>
        <w:spacing w:after="70" w:before="70"/>
        <w:jc w:val="left"/>
      </w:pPr>
      <w:r>
        <w:rPr>
          <w:rFonts w:ascii="Plus Jakarta Sans" w:cs="Plus Jakarta Sans" w:eastAsia="Plus Jakarta Sans" w:hAnsi="Plus Jakarta Sans"/>
          <w:b/>
          <w:bCs/>
          <w:i w:val="false"/>
          <w:iCs w:val="false"/>
          <w:color w:val="444444"/>
          <w:sz w:val="20"/>
          <w:szCs w:val="20"/>
        </w:rPr>
        <w:t xml:space="preserve">Strong match.</w:t>
      </w:r>
      <w:r>
        <w:rPr>
          <w:rFonts w:ascii="Plus Jakarta Sans" w:cs="Plus Jakarta Sans" w:eastAsia="Plus Jakarta Sans" w:hAnsi="Plus Jakarta Sans"/>
          <w:b w:val="false"/>
          <w:bCs w:val="false"/>
          <w:i w:val="false"/>
          <w:iCs w:val="false"/>
          <w:color w:val="444444"/>
          <w:sz w:val="20"/>
          <w:szCs w:val="20"/>
        </w:rPr>
        <w:t xml:space="preserve"> Statement expresses the Canonical or one of the listed Variations and the Boundaries hold. Proceed to per-category checks.</w:t>
      </w:r>
    </w:p>
    <w:p>
      <w:pPr>
        <w:spacing w:after="70" w:before="70"/>
        <w:jc w:val="left"/>
      </w:pPr>
      <w:r>
        <w:rPr>
          <w:rFonts w:ascii="Plus Jakarta Sans" w:cs="Plus Jakarta Sans" w:eastAsia="Plus Jakarta Sans" w:hAnsi="Plus Jakarta Sans"/>
          <w:b/>
          <w:bCs/>
          <w:i w:val="false"/>
          <w:iCs w:val="false"/>
          <w:color w:val="444444"/>
          <w:sz w:val="20"/>
          <w:szCs w:val="20"/>
        </w:rPr>
        <w:t xml:space="preserve">Possible match.</w:t>
      </w:r>
      <w:r>
        <w:rPr>
          <w:rFonts w:ascii="Plus Jakarta Sans" w:cs="Plus Jakarta Sans" w:eastAsia="Plus Jakarta Sans" w:hAnsi="Plus Jakarta Sans"/>
          <w:b w:val="false"/>
          <w:bCs w:val="false"/>
          <w:i w:val="false"/>
          <w:iCs w:val="false"/>
          <w:color w:val="444444"/>
          <w:sz w:val="20"/>
          <w:szCs w:val="20"/>
        </w:rPr>
        <w:t xml:space="preserve"> Statement is close to a specific library entry but a boundary differs. Flagged as Unknown claim at Medium confidence with the suspected entry ID.</w:t>
      </w:r>
    </w:p>
    <w:p>
      <w:pPr>
        <w:spacing w:after="70" w:before="70"/>
        <w:jc w:val="left"/>
      </w:pPr>
      <w:r>
        <w:rPr>
          <w:rFonts w:ascii="Plus Jakarta Sans" w:cs="Plus Jakarta Sans" w:eastAsia="Plus Jakarta Sans" w:hAnsi="Plus Jakarta Sans"/>
          <w:b/>
          <w:bCs/>
          <w:i w:val="false"/>
          <w:iCs w:val="false"/>
          <w:color w:val="444444"/>
          <w:sz w:val="20"/>
          <w:szCs w:val="20"/>
        </w:rPr>
        <w:t xml:space="preserve">No match.</w:t>
      </w:r>
      <w:r>
        <w:rPr>
          <w:rFonts w:ascii="Plus Jakarta Sans" w:cs="Plus Jakarta Sans" w:eastAsia="Plus Jakarta Sans" w:hAnsi="Plus Jakarta Sans"/>
          <w:b w:val="false"/>
          <w:bCs w:val="false"/>
          <w:i w:val="false"/>
          <w:iCs w:val="false"/>
          <w:color w:val="444444"/>
          <w:sz w:val="20"/>
          <w:szCs w:val="20"/>
        </w:rPr>
        <w:t xml:space="preserve"> Statement is a substantive product assertion but no library entry is close enough. Flagged as Unknown claim at High confidence.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Topic adjacency alone is not a Possible match. A Possible match requires a specific candidate library entry whose Boundaries the statement crosses.</w:t>
      </w:r>
    </w:p>
    <w:p>
      <w:pPr>
        <w:pStyle w:val="Heading2"/>
        <w:spacing w:after="120" w:before="320"/>
      </w:pPr>
      <w:r>
        <w:rPr>
          <w:rFonts w:ascii="Playfair Display" w:cs="Playfair Display" w:eastAsia="Playfair Display" w:hAnsi="Playfair Display"/>
          <w:b/>
          <w:bCs/>
          <w:color w:val="0c9d7c"/>
          <w:sz w:val="28"/>
          <w:szCs w:val="28"/>
        </w:rPr>
        <w:t xml:space="preserve">The reference check</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For each Strong-match statement, the skill identifies the citations attached to or near the claim and compares them against the library's expected references using key-field matching.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c9d7c" w:sz="3"/>
              <w:left w:val="single" w:color="0c9d7c" w:sz="20"/>
              <w:bottom w:val="single" w:color="0c9d7c" w:sz="3"/>
              <w:right w:val="single" w:color="0c9d7c" w:sz="3"/>
            </w:tcBorders>
            <w:shd w:fill="E8F8F4" w:val="clear"/>
            <w:tcMar>
              <w:top w:type="dxa" w:w="140"/>
              <w:left w:type="dxa" w:w="220"/>
              <w:bottom w:type="dxa" w:w="140"/>
              <w:right w:type="dxa" w:w="220"/>
            </w:tcMar>
          </w:tcPr>
          <w:p>
            <w:r>
              <w:rPr>
                <w:rFonts w:ascii="Plus Jakarta Sans" w:cs="Plus Jakarta Sans" w:eastAsia="Plus Jakarta Sans" w:hAnsi="Plus Jakarta Sans"/>
                <w:b/>
                <w:bCs/>
                <w:color w:val="0c9d7c"/>
                <w:sz w:val="19"/>
                <w:szCs w:val="19"/>
              </w:rPr>
              <w:t xml:space="preserve">Key-field rule:  </w:t>
            </w:r>
            <w:r>
              <w:rPr>
                <w:rFonts w:ascii="Plus Jakarta Sans" w:cs="Plus Jakarta Sans" w:eastAsia="Plus Jakarta Sans" w:hAnsi="Plus Jakarta Sans"/>
                <w:i/>
                <w:iCs/>
                <w:color w:val="1A5C4A"/>
                <w:sz w:val="19"/>
                <w:szCs w:val="19"/>
              </w:rPr>
              <w:t xml:space="preserve">A cited reference matches a library reference if year matches AND at least one of {study name, first author surname, journal or source} matches.</w:t>
            </w:r>
          </w:p>
        </w:tc>
      </w:tr>
    </w:tbl>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Two special cases:</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Page-level standing reference blocks (a per-page footer listing the document's sources) do not satisfy the per-claim reference check. The skill flags the per-claim issue at Medium confidence with the standing-block note.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Narrative reference attribution (prose naming the source within the same paragraph or the immediately preceding paragraph of the claim) counts as a satisfied reference at Medium confidence with a note.</w:t>
      </w:r>
    </w:p>
    <w:p>
      <w:pPr>
        <w:pStyle w:val="Heading2"/>
        <w:spacing w:after="120" w:before="320"/>
      </w:pPr>
      <w:r>
        <w:rPr>
          <w:rFonts w:ascii="Playfair Display" w:cs="Playfair Display" w:eastAsia="Playfair Display" w:hAnsi="Playfair Display"/>
          <w:b/>
          <w:bCs/>
          <w:color w:val="0c9d7c"/>
          <w:sz w:val="28"/>
          <w:szCs w:val="28"/>
        </w:rPr>
        <w:t xml:space="preserve">The qualifier check</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For each Strong-match statement whose library entry lists a required qualifier, the skill scans the 30-word window around the claim for the qualifier text or a clear paraphrase. The trial-name paraphrase rule handles a common pattern: when the qualifier names a specific trial and that trial is named in the citation, the qualifier is treated as present at Medium confidence with a note.</w:t>
      </w:r>
    </w:p>
    <w:p>
      <w:pPr>
        <w:pStyle w:val="Heading2"/>
        <w:spacing w:after="120" w:before="320"/>
      </w:pPr>
      <w:r>
        <w:rPr>
          <w:rFonts w:ascii="Playfair Display" w:cs="Playfair Display" w:eastAsia="Playfair Display" w:hAnsi="Playfair Display"/>
          <w:b/>
          <w:bCs/>
          <w:color w:val="0c9d7c"/>
          <w:sz w:val="28"/>
          <w:szCs w:val="28"/>
        </w:rPr>
        <w:t xml:space="preserve">Channel handling</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At the start of every run the skill establishes the run channel: HCP, Patient, or Mixed. For each matched claim, the skill compares the run channel to the library entry's Approved use field. A claim used outside its approved channel is flagged as Mismatched citation with a channel-specific issue line.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If a document declares its own channel (for example a footer saying 'Approved for HCP and consumer use') that conflicts with the run channel, the run channel wins. The conflict is surfaced as a note in the output header, not as a flagged item.</w:t>
      </w:r>
    </w:p>
    <w:p>
      <w:pPr>
        <w:pStyle w:val="Heading2"/>
        <w:spacing w:after="120" w:before="320"/>
      </w:pPr>
      <w:r>
        <w:rPr>
          <w:rFonts w:ascii="Playfair Display" w:cs="Playfair Display" w:eastAsia="Playfair Display" w:hAnsi="Playfair Display"/>
          <w:b/>
          <w:bCs/>
          <w:color w:val="0c9d7c"/>
          <w:sz w:val="28"/>
          <w:szCs w:val="28"/>
        </w:rPr>
        <w:t xml:space="preserve">Library catalogue and audit table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Before walking the document, the skill builds an explicit catalogue of every Status: Approved library entry plus every Not-Approved pattern plus two integrity tests. The page walk iterates the catalogue explicitly, and the result of each iteration is reported in the audit table at the end of the document.</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This catalogue is the primary mitigation for run-to-run variance in what gets flagged. Every item in the main report must trace back to a 'Used (issue)' or 'Triggered' row in the audit table. Items the skill cannot tie to a catalogue entry do not get flagged. The audit table is emitted on every run.</w:t>
      </w:r>
    </w:p>
    <w:p>
      <w:pPr>
        <w:pStyle w:val="Heading2"/>
        <w:spacing w:after="120" w:before="320"/>
      </w:pPr>
      <w:r>
        <w:rPr>
          <w:rFonts w:ascii="Playfair Display" w:cs="Playfair Display" w:eastAsia="Playfair Display" w:hAnsi="Playfair Display"/>
          <w:b/>
          <w:bCs/>
          <w:color w:val="0c9d7c"/>
          <w:sz w:val="28"/>
          <w:szCs w:val="28"/>
        </w:rPr>
        <w:t xml:space="preserve">Cross-document consistency: server-side merging</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Consolidation is now automatic and server-side. The skill does not merge items itself. It emits one item per instance, each carrying a rule_id grouping key, and the Lambda merges every item sharing a key into a single consolidated entry that lists each instance.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Format inconsistency. Every instance of the same cited source shares a rule_id of the form FORMAT:&lt;source&gt;. The Lambda merges them into one entry listing each rendered variant.</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Disallowed claim. Every instance of the same Not-Approved pattern shares a rule_id of the form NOT-APPROVED:&lt;pattern&gt;. They merge into one entry. Two instances now merge as well: the old 'three or more' judgement call is gone.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Everything else. Missing reference, Mismatched citation, Missing qualifier, and Unknown claim each get a unique rule_id so they stay standalone. A single claim that is both Missing reference and Missing qualifier is two items with two different keys.</w:t>
      </w:r>
    </w:p>
    <w:p>
      <w:pPr>
        <w:pStyle w:val="Heading2"/>
        <w:spacing w:after="120" w:before="320"/>
      </w:pPr>
      <w:r>
        <w:rPr>
          <w:rFonts w:ascii="Playfair Display" w:cs="Playfair Display" w:eastAsia="Playfair Display" w:hAnsi="Playfair Display"/>
          <w:b/>
          <w:bCs/>
          <w:color w:val="0c9d7c"/>
          <w:sz w:val="28"/>
          <w:szCs w:val="28"/>
        </w:rPr>
        <w:t xml:space="preserve">Confidence levels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7460"/>
      </w:tblGrid>
      <w:tr>
        <w:trPr>
          <w:tblHeader/>
        </w:trPr>
        <w:tc>
          <w:tcPr>
            <w:tcW w:type="dxa" w:w="19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Confidence</w:t>
            </w:r>
          </w:p>
        </w:tc>
        <w:tc>
          <w:tcPr>
            <w:tcW w:type="dxa" w:w="746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Meaning</w:t>
            </w:r>
          </w:p>
        </w:tc>
      </w:tr>
      <w:tr>
        <w:tc>
          <w:tcPr>
            <w:tcW w:type="dxa" w:w="19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High</w:t>
            </w:r>
          </w:p>
        </w:tc>
        <w:tc>
          <w:tcPr>
            <w:tcW w:type="dxa" w:w="74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Objective. No matching reference where one is required, no required qualifier where one is mandated, claim outside an unambiguous approved channel, or a clear match to a Disallowed pattern.</w:t>
            </w:r>
          </w:p>
        </w:tc>
      </w:tr>
      <w:tr>
        <w:tc>
          <w:tcPr>
            <w:tcW w:type="dxa" w:w="19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Medium</w:t>
            </w:r>
          </w:p>
        </w:tc>
        <w:tc>
          <w:tcPr>
            <w:tcW w:type="dxa" w:w="74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Likely issue. Possible match with boundary difference; reference present only in a standing footer or in narrative prose; trial-name paraphrase of a required qualifier; ambiguous Approved use.</w:t>
            </w:r>
          </w:p>
        </w:tc>
      </w:tr>
      <w:tr>
        <w:tc>
          <w:tcPr>
            <w:tcW w:type="dxa" w:w="19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Low</w:t>
            </w:r>
          </w:p>
        </w:tc>
        <w:tc>
          <w:tcPr>
            <w:tcW w:type="dxa" w:w="74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Judgement call. The library is ambiguous or the statement is borderline-substantive. Moved to the Judgment notes section and not counted toward category totals.</w:t>
            </w:r>
          </w:p>
        </w:tc>
      </w:tr>
    </w:tbl>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Outputs</w:t>
      </w:r>
    </w:p>
    <w:p>
      <w:pPr>
        <w:pStyle w:val="Heading2"/>
        <w:spacing w:after="120" w:before="320"/>
      </w:pPr>
      <w:r>
        <w:rPr>
          <w:rFonts w:ascii="Playfair Display" w:cs="Playfair Display" w:eastAsia="Playfair Display" w:hAnsi="Playfair Display"/>
          <w:b/>
          <w:bCs/>
          <w:color w:val="0c9d7c"/>
          <w:sz w:val="28"/>
          <w:szCs w:val="28"/>
        </w:rPr>
        <w:t xml:space="preserve">Chat summary line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Before the Word document link, the skill posts a one-line summary of the total items found, broken down by category. The counts match the consolidated totals in the document. Categories with zero items are included.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c9d7c" w:sz="3"/>
              <w:left w:val="single" w:color="0c9d7c" w:sz="20"/>
              <w:bottom w:val="single" w:color="0c9d7c" w:sz="3"/>
              <w:right w:val="single" w:color="0c9d7c" w:sz="3"/>
            </w:tcBorders>
            <w:shd w:fill="E8F8F4" w:val="clear"/>
            <w:tcMar>
              <w:top w:type="dxa" w:w="140"/>
              <w:left w:type="dxa" w:w="220"/>
              <w:bottom w:type="dxa" w:w="140"/>
              <w:right w:type="dxa" w:w="220"/>
            </w:tcMar>
          </w:tcPr>
          <w:p>
            <w:r>
              <w:rPr>
                <w:rFonts w:ascii="Plus Jakarta Sans" w:cs="Plus Jakarta Sans" w:eastAsia="Plus Jakarta Sans" w:hAnsi="Plus Jakarta Sans"/>
                <w:b/>
                <w:bCs/>
                <w:color w:val="0c9d7c"/>
                <w:sz w:val="19"/>
                <w:szCs w:val="19"/>
              </w:rPr>
              <w:t xml:space="preserve">Example:  </w:t>
            </w:r>
            <w:r>
              <w:rPr>
                <w:rFonts w:ascii="Plus Jakarta Sans" w:cs="Plus Jakarta Sans" w:eastAsia="Plus Jakarta Sans" w:hAnsi="Plus Jakarta Sans"/>
                <w:i/>
                <w:iCs/>
                <w:color w:val="1A5C4A"/>
                <w:sz w:val="19"/>
                <w:szCs w:val="19"/>
              </w:rPr>
              <w:t xml:space="preserve">Found 14 items: 3 missing reference, 2 mismatched citation, 1 missing qualifier, 5 unknown claim, 1 disallowed claim, 2 format inconsistency.</w:t>
            </w:r>
          </w:p>
        </w:tc>
      </w:tr>
    </w:tbl>
    <w:p>
      <w:pPr>
        <w:pStyle w:val="Heading2"/>
        <w:spacing w:after="120" w:before="320"/>
      </w:pPr>
      <w:r>
        <w:rPr>
          <w:rFonts w:ascii="Playfair Display" w:cs="Playfair Display" w:eastAsia="Playfair Display" w:hAnsi="Playfair Display"/>
          <w:b/>
          <w:bCs/>
          <w:color w:val="0c9d7c"/>
          <w:sz w:val="28"/>
          <w:szCs w:val="28"/>
        </w:rPr>
        <w:t xml:space="preserve">Word document layout</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deliverable is a single Word document, named &lt;source-name&gt;_reference-claim-check.docx, rendered by render_findings_report from the structured findings. The Lambda owns the layout:</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Header block (the :::meta box) with the run channel, page count, brand, library version and approved-claims count, and references-style status. The generated date is stamped server-side.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Totals line listing all six categories with their counts, plus a separate line counting any judgment notes.</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Items in document order, each consolidated by rule_id. Each item shows a number, page and position, category, a shaded confidence badge, a blockquoted context snippet with the flagged span highlighted in yellow, the issue, the labelled detail lines, and an italic cited-rule line. Items sharing a key render as a single 'Multiple pages' entry listing each instance.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Judgment notes section for Low-confidence observations, numbered [J1], [J2], not counted toward category totals.</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Audit table titled 'Audit — rules checklist iteration' (the shared renderer uses this heading for both report skills), listing every catalogue entry and pattern with its outcome.</w:t>
      </w:r>
    </w:p>
    <w:p>
      <w:pPr>
        <w:pStyle w:val="ListParagraph"/>
        <w:numPr>
          <w:ilvl w:val="0"/>
          <w:numId w:val="2"/>
        </w:numPr>
        <w:spacing w:after="40" w:before="40"/>
      </w:pPr>
      <w:r>
        <w:rPr>
          <w:rFonts w:ascii="Plus Jakarta Sans" w:cs="Plus Jakarta Sans" w:eastAsia="Plus Jakarta Sans" w:hAnsi="Plus Jakarta Sans"/>
          <w:b w:val="false"/>
          <w:bCs w:val="false"/>
          <w:i w:val="false"/>
          <w:iCs w:val="false"/>
          <w:color w:val="444444"/>
          <w:sz w:val="20"/>
          <w:szCs w:val="20"/>
        </w:rPr>
        <w:t xml:space="preserve">Footer disclaimer specific to the reference-and-claim-check skill.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3"/>
              <w:left w:val="single" w:color="1565C0" w:sz="20"/>
              <w:bottom w:val="single" w:color="1565C0" w:sz="3"/>
              <w:right w:val="single" w:color="1565C0" w:sz="3"/>
            </w:tcBorders>
            <w:shd w:fill="EEF4FB" w:val="clear"/>
            <w:tcMar>
              <w:top w:type="dxa" w:w="140"/>
              <w:left w:type="dxa" w:w="220"/>
              <w:bottom w:type="dxa" w:w="140"/>
              <w:right w:type="dxa" w:w="220"/>
            </w:tcMar>
          </w:tcPr>
          <w:p>
            <w:r>
              <w:rPr>
                <w:rFonts w:ascii="Plus Jakarta Sans" w:cs="Plus Jakarta Sans" w:eastAsia="Plus Jakarta Sans" w:hAnsi="Plus Jakarta Sans"/>
                <w:b/>
                <w:bCs/>
                <w:color w:val="1565C0"/>
                <w:sz w:val="19"/>
                <w:szCs w:val="19"/>
              </w:rPr>
              <w:t xml:space="preserve">Worth knowing:  </w:t>
            </w:r>
            <w:r>
              <w:rPr>
                <w:rFonts w:ascii="Plus Jakarta Sans" w:cs="Plus Jakarta Sans" w:eastAsia="Plus Jakarta Sans" w:hAnsi="Plus Jakarta Sans"/>
                <w:i/>
                <w:iCs/>
                <w:color w:val="1A3A5C"/>
                <w:sz w:val="19"/>
                <w:szCs w:val="19"/>
              </w:rPr>
              <w:t xml:space="preserve">The skill produces correct structured data; the Lambda produces the document. The skill never writes the totals line, item numbers, badges, highlighting, or the consolidation. If a report ever shows confidence as plain text, no yellow highlight, a prose 'Found N items' line, or visible grouping keys like FORMAT:..., the structured path was bypassed and the run should be repeated.</w:t>
            </w:r>
          </w:p>
        </w:tc>
      </w:tr>
    </w:tbl>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Edge cases and limitations</w:t>
      </w:r>
    </w:p>
    <w:p>
      <w:pPr>
        <w:pStyle w:val="Heading2"/>
        <w:spacing w:after="120" w:before="320"/>
      </w:pPr>
      <w:r>
        <w:rPr>
          <w:rFonts w:ascii="Playfair Display" w:cs="Playfair Display" w:eastAsia="Playfair Display" w:hAnsi="Playfair Display"/>
          <w:b/>
          <w:bCs/>
          <w:color w:val="0c9d7c"/>
          <w:sz w:val="28"/>
          <w:szCs w:val="28"/>
        </w:rPr>
        <w:t xml:space="preserve">Library-dependent</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skill is only as useful as the approved claims library is complete and current. A claim not in the library cannot be checked; it can only be flagged as Unknown for the team to review. Matching improves over time as the team adds new Variations under existing entries.</w:t>
      </w:r>
    </w:p>
    <w:p>
      <w:pPr>
        <w:pStyle w:val="Heading2"/>
        <w:spacing w:after="120" w:before="320"/>
      </w:pPr>
      <w:r>
        <w:rPr>
          <w:rFonts w:ascii="Playfair Display" w:cs="Playfair Display" w:eastAsia="Playfair Display" w:hAnsi="Playfair Display"/>
          <w:b/>
          <w:bCs/>
          <w:color w:val="0c9d7c"/>
          <w:sz w:val="28"/>
          <w:szCs w:val="28"/>
        </w:rPr>
        <w:t xml:space="preserve">Manual library maintenance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All updates to the library are made by the team. The skill does not add, edit, or modify the library.</w:t>
      </w:r>
    </w:p>
    <w:p>
      <w:pPr>
        <w:pStyle w:val="Heading2"/>
        <w:spacing w:after="120" w:before="320"/>
      </w:pPr>
      <w:r>
        <w:rPr>
          <w:rFonts w:ascii="Playfair Display" w:cs="Playfair Display" w:eastAsia="Playfair Display" w:hAnsi="Playfair Display"/>
          <w:b/>
          <w:bCs/>
          <w:color w:val="0c9d7c"/>
          <w:sz w:val="28"/>
          <w:szCs w:val="28"/>
        </w:rPr>
        <w:t xml:space="preserve">Page-level standing reference blocks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Detail aids often carry a per-page footer listing the document's sources. The skill treats this as a standing block, not a per-claim citation, and flags per-claim issues at Medium with a note asking the writer to verify whether per-claim citation markers are expected.</w:t>
      </w:r>
    </w:p>
    <w:p>
      <w:pPr>
        <w:pStyle w:val="Heading2"/>
        <w:spacing w:after="120" w:before="320"/>
      </w:pPr>
      <w:r>
        <w:rPr>
          <w:rFonts w:ascii="Playfair Display" w:cs="Playfair Display" w:eastAsia="Playfair Display" w:hAnsi="Playfair Display"/>
          <w:b/>
          <w:bCs/>
          <w:color w:val="0c9d7c"/>
          <w:sz w:val="28"/>
          <w:szCs w:val="28"/>
        </w:rPr>
        <w:t xml:space="preserve">Narrative reference attribution</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Prose-heavy materials often attribute a source in prose rather than via a formal citation marker. The skill accepts narrative attribution at Medium confidence when the prose names the source clearly and the attribution is within the same paragraph or the immediately preceding paragraph of the claim.</w:t>
      </w:r>
    </w:p>
    <w:p>
      <w:pPr>
        <w:pStyle w:val="Heading2"/>
        <w:spacing w:after="120" w:before="320"/>
      </w:pPr>
      <w:r>
        <w:rPr>
          <w:rFonts w:ascii="Playfair Display" w:cs="Playfair Display" w:eastAsia="Playfair Display" w:hAnsi="Playfair Display"/>
          <w:b/>
          <w:bCs/>
          <w:color w:val="0c9d7c"/>
          <w:sz w:val="28"/>
          <w:szCs w:val="28"/>
        </w:rPr>
        <w:t xml:space="preserve">Scanned PDFs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If the total extractable text is under approximately 200 characters but the document has more than one page, the skill treats it as scanned and stops. The user is asked to OCR the PDF first and re-upload.</w:t>
      </w:r>
    </w:p>
    <w:p>
      <w:pPr>
        <w:pStyle w:val="Heading2"/>
        <w:spacing w:after="120" w:before="320"/>
      </w:pPr>
      <w:r>
        <w:rPr>
          <w:rFonts w:ascii="Playfair Display" w:cs="Playfair Display" w:eastAsia="Playfair Display" w:hAnsi="Playfair Display"/>
          <w:b/>
          <w:bCs/>
          <w:color w:val="0c9d7c"/>
          <w:sz w:val="28"/>
          <w:szCs w:val="28"/>
        </w:rPr>
        <w:t xml:space="preserve">Vector text in graphs and infographics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Design PDFs often contain text inside graphs, infographic art, and image-only callouts that does not extract to plain text. The skill notes this limitation in the output.</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Technical architecture</w:t>
      </w:r>
    </w:p>
    <w:p>
      <w:pPr>
        <w:pStyle w:val="Heading2"/>
        <w:spacing w:after="120" w:before="320"/>
      </w:pPr>
      <w:r>
        <w:rPr>
          <w:rFonts w:ascii="Playfair Display" w:cs="Playfair Display" w:eastAsia="Playfair Display" w:hAnsi="Playfair Display"/>
          <w:b/>
          <w:bCs/>
          <w:color w:val="0c9d7c"/>
          <w:sz w:val="28"/>
          <w:szCs w:val="28"/>
        </w:rPr>
        <w:t xml:space="preserve">The skill bundle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packaged ward6-reference-and-claim-checker .skill contains exactly one file: SKILL.md. No bundled scripts, no bundled references, no helper assets. All runtime behaviour is described in the SKILL.md prose.</w:t>
      </w:r>
    </w:p>
    <w:p>
      <w:pPr>
        <w:pStyle w:val="Heading2"/>
        <w:spacing w:after="120" w:before="320"/>
      </w:pPr>
      <w:r>
        <w:rPr>
          <w:rFonts w:ascii="Playfair Display" w:cs="Playfair Display" w:eastAsia="Playfair Display" w:hAnsi="Playfair Display"/>
          <w:b/>
          <w:bCs/>
          <w:color w:val="0c9d7c"/>
          <w:sz w:val="28"/>
          <w:szCs w:val="28"/>
        </w:rPr>
        <w:t xml:space="preserve">Skill references/ folder</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Reference content lives in the shared Skill references/ folder in the skills S3 bucket. The team uploads or replaces files there independently of the .skill bundle, so reference content can be updated centrally without re-bundling skills. Filenames the skill reads: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Filename</w:t>
            </w:r>
          </w:p>
        </w:tc>
        <w:tc>
          <w:tcPr>
            <w:tcW w:type="dxa" w:w="616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When loaded</w:t>
            </w:r>
          </w:p>
        </w:tc>
      </w:tr>
      <w:tr>
        <w:tc>
          <w:tcPr>
            <w:tcW w:type="dxa" w:w="32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Ward6 References Style.docx</w:t>
            </w:r>
          </w:p>
        </w:tc>
        <w:tc>
          <w:tcPr>
            <w:tcW w:type="dxa" w:w="61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Every run. Required for the Format inconsistency category.</w:t>
            </w:r>
          </w:p>
        </w:tc>
      </w:tr>
      <w:tr>
        <w:tc>
          <w:tcPr>
            <w:tcW w:type="dxa" w:w="32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&lt;Brand&gt; Approved Claims.docx</w:t>
            </w:r>
          </w:p>
        </w:tc>
        <w:tc>
          <w:tcPr>
            <w:tcW w:type="dxa" w:w="61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i w:val="false"/>
                <w:iCs w:val="false"/>
                <w:color w:val="444444"/>
                <w:sz w:val="18"/>
                <w:szCs w:val="18"/>
              </w:rPr>
              <w:t xml:space="preserve">After brand detection resolves a brand. Required for a successful run. Brand list: Veltassa and Maviret.</w:t>
            </w:r>
          </w:p>
        </w:tc>
      </w:tr>
    </w:tbl>
    <w:p>
      <w:pPr>
        <w:pStyle w:val="Heading2"/>
        <w:spacing w:after="120" w:before="320"/>
      </w:pPr>
      <w:r>
        <w:rPr>
          <w:rFonts w:ascii="Playfair Display" w:cs="Playfair Display" w:eastAsia="Playfair Display" w:hAnsi="Playfair Display"/>
          <w:b/>
          <w:bCs/>
          <w:color w:val="0c9d7c"/>
          <w:sz w:val="28"/>
          <w:szCs w:val="28"/>
        </w:rPr>
        <w:t xml:space="preserve">Input handling</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Both PDF and Word inputs are read via the runtime native text extraction. Page references are the physical page numbers the runtime reports.</w:t>
      </w:r>
    </w:p>
    <w:p>
      <w:pPr>
        <w:pStyle w:val="Heading2"/>
        <w:spacing w:after="120" w:before="320"/>
      </w:pPr>
      <w:r>
        <w:rPr>
          <w:rFonts w:ascii="Playfair Display" w:cs="Playfair Display" w:eastAsia="Playfair Display" w:hAnsi="Playfair Display"/>
          <w:b/>
          <w:bCs/>
          <w:color w:val="0c9d7c"/>
          <w:sz w:val="28"/>
          <w:szCs w:val="28"/>
        </w:rPr>
        <w:t xml:space="preserve">The render_findings_report tool</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Output is rendered by render_findings_report, a Lambda tool that accepts only structured fields (items, judgment_notes, audit, categories, meta, note, report_title, disclaimer, filename) and has no free-text content field. With no free-text field, the skill must supply structured data, which is what guarantees the deterministic consolidation, the confidence badges, and the yellow highlighting. The skill assembles a single payload and makes one tool call; the Lambda groups items by rule_id, numbers them, highlights the flagged spans, draws the badges and the audit table, computes the totals, and returns the .docx. A complementary runtime restriction that scopes the report skills to this tool is the hard guarantee that the free-text path cannot be reached.</w:t>
      </w:r>
    </w:p>
    <w:p>
      <w:pPr>
        <w:pStyle w:val="Heading2"/>
        <w:spacing w:after="120" w:before="320"/>
      </w:pPr>
      <w:r>
        <w:rPr>
          <w:rFonts w:ascii="Playfair Display" w:cs="Playfair Display" w:eastAsia="Playfair Display" w:hAnsi="Playfair Display"/>
          <w:b/>
          <w:bCs/>
          <w:color w:val="0c9d7c"/>
          <w:sz w:val="28"/>
          <w:szCs w:val="28"/>
        </w:rPr>
        <w:t xml:space="preserve">Output disclaimer</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Every output Word document carries a footer disclaimer, stamped by the skill via the disclaimer field, noting that the report was generated by an AI reference-and-claim-check skill and that all flagged items must be reviewed and verified against the source draft and the approved claims library before being treated as actionable corrections.</w:t>
      </w:r>
    </w:p>
    <w:p>
      <w:pPr>
        <w:pStyle w:val="Heading2"/>
        <w:spacing w:after="120" w:before="320"/>
      </w:pPr>
      <w:r>
        <w:rPr>
          <w:rFonts w:ascii="Playfair Display" w:cs="Playfair Display" w:eastAsia="Playfair Display" w:hAnsi="Playfair Display"/>
          <w:b/>
          <w:bCs/>
          <w:color w:val="0c9d7c"/>
          <w:sz w:val="28"/>
          <w:szCs w:val="28"/>
        </w:rPr>
        <w:t xml:space="preserve">Versioning</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This is version 4.0 (May 2026): the structured render_findings_report path with deterministic consolidation, real highlighting, confidence badges, per-item detail lines, the six fixed categories, and an own-skill footer disclaimer. The earlier markdown approach used the export_docx path with bolded spans and in-prompt consolidation.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3"/>
              <w:left w:val="single" w:color="1565C0" w:sz="20"/>
              <w:bottom w:val="single" w:color="1565C0" w:sz="3"/>
              <w:right w:val="single" w:color="1565C0" w:sz="3"/>
            </w:tcBorders>
            <w:shd w:fill="EEF4FB" w:val="clear"/>
            <w:tcMar>
              <w:top w:type="dxa" w:w="140"/>
              <w:left w:type="dxa" w:w="220"/>
              <w:bottom w:type="dxa" w:w="140"/>
              <w:right w:type="dxa" w:w="220"/>
            </w:tcMar>
          </w:tcPr>
          <w:p>
            <w:r>
              <w:rPr>
                <w:rFonts w:ascii="Plus Jakarta Sans" w:cs="Plus Jakarta Sans" w:eastAsia="Plus Jakarta Sans" w:hAnsi="Plus Jakarta Sans"/>
                <w:b/>
                <w:bCs/>
                <w:color w:val="1565C0"/>
                <w:sz w:val="19"/>
                <w:szCs w:val="19"/>
              </w:rPr>
              <w:t xml:space="preserve">Worth knowing:  </w:t>
            </w:r>
            <w:r>
              <w:rPr>
                <w:rFonts w:ascii="Plus Jakarta Sans" w:cs="Plus Jakarta Sans" w:eastAsia="Plus Jakarta Sans" w:hAnsi="Plus Jakarta Sans"/>
                <w:i/>
                <w:iCs/>
                <w:color w:val="1A3A5C"/>
                <w:sz w:val="19"/>
                <w:szCs w:val="19"/>
              </w:rPr>
              <w:t xml:space="preserve">Ward 6 Reference and Claim Checker is one of five skills in the Ward 6 AI pilot. Proof Check handles general typographic, spelling, style, and reference-formatting review. The Document Element Extractor handles content extraction. Each skill is review-only or extraction-only; none of them rewrite the source draft.</w:t>
            </w:r>
          </w:p>
        </w:tc>
      </w:tr>
    </w:tbl>
    <w:sectPr>
      <w:footerReference w:type="default" r:id="rId8"/>
      <w:pgSz w:w="12240" w:h="15840" w:orient="portrait"/>
      <w:pgMar w:top="144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8D8" w:sz="2" w:space="6"/>
      </w:pBd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0" w:before="0"/>
            <w:jc w:val="left"/>
          </w:pPr>
          <w:r>
            <w:rPr>
              <w:rFonts w:ascii="Plus Jakarta Sans" w:cs="Plus Jakarta Sans" w:eastAsia="Plus Jakarta Sans" w:hAnsi="Plus Jakarta Sans"/>
              <w:color w:val="888888"/>
              <w:sz w:val="16"/>
              <w:szCs w:val="16"/>
            </w:rPr>
            <w:fldChar w:fldCharType="begin"/>
            <w:instrText xml:space="preserve">PAGE</w:instrText>
            <w:fldChar w:fldCharType="separate"/>
            <w:fldChar w:fldCharType="end"/>
          </w:r>
        </w:p>
      </w:tc>
      <w:tc>
        <w:tcPr>
          <w:tcW w:type="dxa" w:w="4680"/>
          <w:tcBorders>
            <w:top w:val="none" w:color="FFFFFF" w:sz="0"/>
            <w:left w:val="none" w:color="FFFFFF" w:sz="0"/>
            <w:bottom w:val="none" w:color="FFFFFF" w:sz="0"/>
            <w:right w:val="none" w:color="FFFFFF" w:sz="0"/>
          </w:tcBorders>
        </w:tcPr>
        <w:p>
          <w:pPr>
            <w:spacing w:after="0" w:before="0"/>
            <w:jc w:val="right"/>
          </w:pPr>
          <w:r>
            <w:drawing>
              <wp:inline distT="0" distB="0" distL="0" distR="0">
                <wp:extent cx="1066800" cy="1809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066800" cy="180975"/>
                        </a:xfrm>
                        <a:prstGeom prst="rect">
                          <a:avLst/>
                        </a:prstGeom>
                      </pic:spPr>
                    </pic:pic>
                  </a:graphicData>
                </a:graphic>
              </wp:inline>
            </w:drawing>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Plus Jakarta Sans" w:cs="Plus Jakarta Sans" w:eastAsia="Plus Jakarta Sans" w:hAnsi="Plus Jakarta Sans"/>
        <w:color w:val="0c9d7c"/>
        <w:sz w:val="20"/>
        <w:szCs w:val="20"/>
      </w:rPr>
    </w:lvl>
  </w:abstractNum>
  <w:abstractNum w:abstractNumId="3" w15:restartNumberingAfterBreak="0">
    <w:multiLevelType w:val="hybridMultilevel"/>
    <w:lvl w:ilvl="0" w15:tentative="1">
      <w:start w:val="1"/>
      <w:numFmt w:val="decimal"/>
      <w:lvlText w:val="%1."/>
      <w:lvlJc w:val="left"/>
      <w:pPr>
        <w:ind w:left="720" w:hanging="360"/>
      </w:pPr>
      <w:rPr>
        <w:rFonts w:ascii="Plus Jakarta Sans" w:cs="Plus Jakarta Sans" w:eastAsia="Plus Jakarta Sans" w:hAnsi="Plus Jakarta Sans"/>
        <w:color w:val="0c9d7c"/>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us Jakarta Sans" w:cs="Plus Jakarta Sans" w:eastAsia="Plus Jakarta Sans" w:hAnsi="Plus Jakarta Sans"/>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400"/>
      <w:outlineLvl w:val="0"/>
    </w:pPr>
    <w:rPr>
      <w:rFonts w:ascii="Playfair Display" w:cs="Playfair Display" w:eastAsia="Playfair Display" w:hAnsi="Playfair Display"/>
      <w:b/>
      <w:bCs/>
      <w:color w:val="0d0d0d"/>
      <w:sz w:val="40"/>
      <w:szCs w:val="40"/>
    </w:rPr>
  </w:style>
  <w:style w:type="paragraph" w:styleId="Heading2">
    <w:name w:val="Heading 2"/>
    <w:basedOn w:val="Normal"/>
    <w:next w:val="Normal"/>
    <w:qFormat/>
    <w:pPr>
      <w:spacing w:after="120" w:before="320"/>
      <w:outlineLvl w:val="1"/>
    </w:pPr>
    <w:rPr>
      <w:rFonts w:ascii="Playfair Display" w:cs="Playfair Display" w:eastAsia="Playfair Display" w:hAnsi="Playfair Display"/>
      <w:b/>
      <w:bCs/>
      <w:color w:val="0c9d7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bb349644d2b616a807d42ccd177c7944ddc1601.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Relationship Id="rId0" Type="http://schemas.openxmlformats.org/officeDocument/2006/relationships/image" Target="media/04c4595c48c0633310bb212a99725f20a0d0a05d.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2026-05-22T01:56:43.709Z</dcterms:created>
  <dcterms:modified xsi:type="dcterms:W3CDTF">2026-05-22T01:56:43.709Z</dcterms:modified>
</cp:coreProperties>
</file>

<file path=docProps/custom.xml><?xml version="1.0" encoding="utf-8"?>
<Properties xmlns="http://schemas.openxmlformats.org/officeDocument/2006/custom-properties" xmlns:vt="http://schemas.openxmlformats.org/officeDocument/2006/docPropsVTypes"/>
</file>