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single" w:color="auto" w:sz="4"/>
          <w:left w:val="single" w:color="auto" w:sz="4"/>
          <w:bottom w:val="single" w:color="auto" w:sz="4"/>
          <w:right w:val="single" w:color="auto" w:sz="4"/>
          <w:insideH w:val="single" w:color="auto" w:sz="4"/>
          <w:insideV w:val="single" w:color="auto" w:sz="4"/>
        </w:tblBorders>
      </w:tblPr>
      <w:tblGrid>
        <w:gridCol w:w="12240"/>
      </w:tblGrid>
      <w:tr>
        <w:tc>
          <w:tcPr>
            <w:tcW w:type="dxa" w:w="12240"/>
            <w:tcBorders>
              <w:top w:val="none" w:color="FFFFFF" w:sz="0"/>
              <w:left w:val="none" w:color="FFFFFF" w:sz="0"/>
              <w:bottom w:val="none" w:color="FFFFFF" w:sz="0"/>
              <w:right w:val="none" w:color="FFFFFF" w:sz="0"/>
            </w:tcBorders>
            <w:shd w:fill="0d0d0d" w:val="clear"/>
            <w:tcMar>
              <w:top w:type="dxa" w:w="1000"/>
              <w:left w:type="dxa" w:w="1000"/>
              <w:bottom w:type="dxa" w:w="1000"/>
              <w:right w:type="dxa" w:w="1000"/>
            </w:tcMar>
            <w:vAlign w:val="top"/>
          </w:tcPr>
          <w:p>
            <w:pPr>
              <w:spacing w:after="0" w:before="0"/>
              <w:jc w:val="left"/>
            </w:pPr>
            <w:r>
              <w:drawing>
                <wp:inline distT="0" distB="0" distL="0" distR="0">
                  <wp:extent cx="1714500" cy="2952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714500" cy="295275"/>
                          </a:xfrm>
                          <a:prstGeom prst="rect">
                            <a:avLst/>
                          </a:prstGeom>
                        </pic:spPr>
                      </pic:pic>
                    </a:graphicData>
                  </a:graphic>
                </wp:inline>
              </w:drawing>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100" w:before="0"/>
              <w:jc w:val="left"/>
            </w:pPr>
            <w:r>
              <w:rPr>
                <w:rFonts w:ascii="Playfair Display" w:cs="Playfair Display" w:eastAsia="Playfair Display" w:hAnsi="Playfair Display"/>
                <w:b/>
                <w:bCs/>
                <w:i w:val="false"/>
                <w:iCs w:val="false"/>
                <w:color w:val="FFFFFF"/>
                <w:sz w:val="48"/>
                <w:szCs w:val="48"/>
              </w:rPr>
              <w:t xml:space="preserve">TWMG</w:t>
            </w:r>
          </w:p>
          <w:p>
            <w:pPr>
              <w:spacing w:after="80" w:before="0"/>
              <w:jc w:val="left"/>
            </w:pPr>
            <w:r>
              <w:rPr>
                <w:rFonts w:ascii="Playfair Display" w:cs="Playfair Display" w:eastAsia="Playfair Display" w:hAnsi="Playfair Display"/>
                <w:b w:val="false"/>
                <w:bCs w:val="false"/>
                <w:i w:val="false"/>
                <w:iCs w:val="false"/>
                <w:color w:val="50e3c2"/>
                <w:sz w:val="36"/>
                <w:szCs w:val="36"/>
              </w:rPr>
              <w:t xml:space="preserve">Ward 7 Proof Check</w:t>
            </w:r>
          </w:p>
          <w:p>
            <w:pPr>
              <w:pBdr>
                <w:bottom w:val="single" w:color="0c9d7c" w:sz="3" w:space="6"/>
              </w:pBdr>
              <w:spacing w:after="160" w:before="0"/>
            </w:pPr>
            <w:r>
              <w:rPr>
                <w:rFonts w:ascii="Plus Jakarta Sans" w:cs="Plus Jakarta Sans" w:eastAsia="Plus Jakarta Sans" w:hAnsi="Plus Jakarta Sans"/>
                <w:i/>
                <w:iCs/>
                <w:color w:val="888888"/>
                <w:sz w:val="19"/>
                <w:szCs w:val="19"/>
              </w:rPr>
              <w:t xml:space="preserve">Skill documentation · Ward 7 AI Pilot</w:t>
            </w:r>
          </w:p>
          <w:p>
            <w:pPr>
              <w:spacing w:after="80" w:before="0"/>
            </w:pPr>
            <w:r>
              <w:rPr>
                <w:color w:val="0d0d0d"/>
                <w:sz w:val="20"/>
                <w:szCs w:val="20"/>
              </w:rPr>
              <w:t xml:space="preserve"> </w:t>
            </w:r>
          </w:p>
          <w:p>
            <w:pPr>
              <w:spacing w:after="80" w:before="0"/>
              <w:jc w:val="left"/>
            </w:pPr>
            <w:r>
              <w:rPr>
                <w:rFonts w:ascii="Plus Jakarta Sans" w:cs="Plus Jakarta Sans" w:eastAsia="Plus Jakarta Sans" w:hAnsi="Plus Jakarta Sans"/>
                <w:b w:val="false"/>
                <w:bCs w:val="false"/>
                <w:i/>
                <w:iCs/>
                <w:color w:val="888888"/>
                <w:sz w:val="17"/>
                <w:szCs w:val="17"/>
              </w:rPr>
              <w:t xml:space="preserve">Version 10.0  ·  May 2026</w:t>
            </w:r>
          </w:p>
        </w:tc>
      </w:tr>
    </w:tbl>
    <w:p>
      <w:pPr>
        <w:sectPr>
          <w:footerReference w:type="default" r:id="rId7"/>
          <w:type w:val="nextPage"/>
          <w:pgSz w:w="12240" w:h="15840" w:orient="portrait"/>
          <w:pgMar w:top="0" w:right="0" w:bottom="0" w:left="0" w:header="708" w:footer="708" w:gutter="0"/>
          <w:pgNumType/>
          <w:docGrid w:linePitch="360"/>
        </w:sectPr>
      </w:pPr>
    </w:p>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What's new in this version</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This is version 10 of the Ward 7 Proof Check documentation. The skill renders the report through a structured path that makes it deterministic. An earlier approach fixed the rule-extraction problem with a static rules checklist, but it still assembled the report as markdown and sent it to the shared export_docx Lambda, which could only bold the flagged span (it could not highlight) and could not guarantee that repeated violations collapsed the same way each run. The current version sends structured data instead of prose, which closes the remaining variance.</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The headline changes: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Structured rendering tool. The Word document is now produced by a dedicated Lambda tool, render_findings_report, which accepts only structured data and has no free-text field. The skill emits its findings as a JSON items array (plus judgment_notes and audit rows). The Lambda owns the entire layout: item numbering, the totals line, the confidence badges, the highlighting, the consolidation, and the audit table. The skill no longer composes the report itself.</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Deterministic consolidation. Every finding carries its rule_id grouping key. The Lambda merges all findings sharing a key into one consolidated entry (DICT-001 is sub-grouped by the issue text), lists each instance, renumbers, and recomputes the totals, identically on every run. The in-prompt consolidation step that was the single biggest source of headline-count drift has been removed.</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Real yellow highlighting. The flagged span inside each context snippet is now highlighted in yellow, rendered natively by the Lambda, and the confidence level is shown as a shaded badge rather than plain text. Earlier versions bolded the span because the old path could not highlight.</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Stable rule citations carried as data. Every flagged item still ends with a cited-rule line naming the rule_id from the checklist (or an integrity-test label for the structural checks). The skill emits this as a field rather than writing it into markdown.</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Own-skill footer disclaimer. The skill stamps its own footer text via the disclaimer field, so the proof-check report carries proof-check wording.</w:t>
      </w:r>
    </w:p>
    <w:p>
      <w:pPr>
        <w:pStyle w:val="Heading2"/>
        <w:spacing w:after="120" w:before="320"/>
      </w:pPr>
      <w:r>
        <w:rPr>
          <w:rFonts w:ascii="Playfair Display" w:cs="Playfair Display" w:eastAsia="Playfair Display" w:hAnsi="Playfair Display"/>
          <w:b/>
          <w:bCs/>
          <w:color w:val="0c9d7c"/>
          <w:sz w:val="28"/>
          <w:szCs w:val="28"/>
        </w:rPr>
        <w:t xml:space="preserve">What you'll notice in the output</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Each item now has a metadata line (item number, page, category), a shaded confidence badge, a blockquoted context snippet with the flagged span highlighted in yellow, a one-sentence issue, and an italic cited-rule line. The document opens with a header box and a Totals line that counts only High and Medium items, includes an optional Judgment notes section, and ends with the Audit table. Because the consolidation of repeated violations is now deterministic, the same defect always collapses to one entry, so the headline counts are far more stable run-to-run than under the earlier markdown approach.</w:t>
      </w:r>
    </w:p>
    <w:p>
      <w:pPr>
        <w:spacing w:after="5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565C0" w:sz="3"/>
              <w:left w:val="single" w:color="1565C0" w:sz="20"/>
              <w:bottom w:val="single" w:color="1565C0" w:sz="3"/>
              <w:right w:val="single" w:color="1565C0" w:sz="3"/>
            </w:tcBorders>
            <w:shd w:fill="EEF4FB" w:val="clear"/>
            <w:tcMar>
              <w:top w:type="dxa" w:w="140"/>
              <w:left w:type="dxa" w:w="220"/>
              <w:bottom w:type="dxa" w:w="140"/>
              <w:right w:type="dxa" w:w="220"/>
            </w:tcMar>
          </w:tcPr>
          <w:p>
            <w:r>
              <w:rPr>
                <w:rFonts w:ascii="Plus Jakarta Sans" w:cs="Plus Jakarta Sans" w:eastAsia="Plus Jakarta Sans" w:hAnsi="Plus Jakarta Sans"/>
                <w:b/>
                <w:bCs/>
                <w:color w:val="1565C0"/>
                <w:sz w:val="19"/>
                <w:szCs w:val="19"/>
              </w:rPr>
              <w:t xml:space="preserve">Worth knowing:  </w:t>
            </w:r>
            <w:r>
              <w:rPr>
                <w:rFonts w:ascii="Plus Jakarta Sans" w:cs="Plus Jakarta Sans" w:eastAsia="Plus Jakarta Sans" w:hAnsi="Plus Jakarta Sans"/>
                <w:i/>
                <w:iCs/>
                <w:color w:val="1A3A5C"/>
                <w:sz w:val="19"/>
                <w:szCs w:val="19"/>
              </w:rPr>
              <w:t xml:space="preserve">This is a working pilot. The skill produces useful output today, but the medical writer remains responsible for every editorial decision. The proof-check report is a structured second read, not a substitute for professional judgement.</w:t>
            </w:r>
          </w:p>
        </w:tc>
      </w:tr>
    </w:tbl>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Overview</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Ward 7 Proof Check reviews the text content of a finalised, design-ready PDF and flags spelling, punctuation, house-style, reference-formatting, and terminology issues for the medical writer to action.</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A typical run takes a design-ready PDF as input, loads the canonical Ward 7 Rules Checklist and one brand-specific Approved Terms file from the shared Skill references/ folder, walks the document page by page against every rule on the checklist, and emits structured findings to render_findings_report, which produces a single Word document listing every flagged item in document order. The writer reads the report, decides which items to action, and applies changes in the source file.</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This is the Ward 7 version of the skill. A parallel Ward 6 version exists for brands on that ward's style; only one ward's skill is uploaded to any given brand silo.</w:t>
      </w:r>
    </w:p>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Background and purpose</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Medical writers receive design-ready PDFs from designers and need to verify the typeset text before signing off. The check requires several lenses: spelling against the loaded house style, brand and product name spelling, clinical terminology against an approved term dictionary, basic typographic and punctuation hygiene, and reference-formatting integrity.</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Proof Check gives the writer a structured, repeatable read of the typeset content. It surfaces issues and locates them; it does not suggest corrections or rewrite content. Every editorial decision stays with the medical writer.</w:t>
      </w:r>
    </w:p>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Scope</w:t>
      </w:r>
    </w:p>
    <w:p>
      <w:pPr>
        <w:pStyle w:val="Heading2"/>
        <w:spacing w:after="120" w:before="320"/>
      </w:pPr>
      <w:r>
        <w:rPr>
          <w:rFonts w:ascii="Playfair Display" w:cs="Playfair Display" w:eastAsia="Playfair Display" w:hAnsi="Playfair Display"/>
          <w:b/>
          <w:bCs/>
          <w:color w:val="0c9d7c"/>
          <w:sz w:val="28"/>
          <w:szCs w:val="28"/>
        </w:rPr>
        <w:t xml:space="preserve">In scope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Finalised, design-ready PDF inputs (single file at a time).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British spelling (-ise, -our, -ae, -oe endings) against the loaded Ward 7 Rules Checklist.</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Brand and product name spelling, capitalisation, and trademark symbol usage.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Clinical, drug, ingredient, disease, and terminology checks against the loaded brand's Approved Terms file (Kisqali and Kesimpta).</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Punctuation and typographic rules documented in the checklist.</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Style rules documented in the checklist (abbreviation format, units of measurement, number formatting, capitalisation conventions, footnotes).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Reference list and in-text citation formatting per the checklist, plus footnote and superscript integrity.</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Cross-document consistency: terms or rules rendered inconsistently across pages.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Loading the canonical Ward 7 Rules Checklist and the matching brand's Approved Terms file from the shared Skill references/ folder via get_skill_reference.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Two-pronged brand detection at runtime (filename match in the brand-scoped knowledge base, with a fall-back ask if detection is ambiguous).</w:t>
      </w:r>
    </w:p>
    <w:p>
      <w:pPr>
        <w:pStyle w:val="Heading2"/>
        <w:spacing w:after="120" w:before="320"/>
      </w:pPr>
      <w:r>
        <w:rPr>
          <w:rFonts w:ascii="Playfair Display" w:cs="Playfair Display" w:eastAsia="Playfair Display" w:hAnsi="Playfair Display"/>
          <w:b/>
          <w:bCs/>
          <w:color w:val="0c9d7c"/>
          <w:sz w:val="28"/>
          <w:szCs w:val="28"/>
        </w:rPr>
        <w:t xml:space="preserve">Out of scope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Suggesting corrections or rewriting any flagged text.</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Editing the source artwork or the PDF directly.</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Loading reference files outside the supported set (the canonical checklist and the brand-specific Approved Terms file).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Compliance checking against the TGA or Medicines Australia Code, or claim-to-approved-list mapping. These are handled by the Reference and Claim Checker skill.</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Content extraction (claims, references, mandatories). Handled by the Document Element Extractor skill.</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Word, plain-text, or scanned PDF inputs in this version.</w:t>
      </w:r>
    </w:p>
    <w:p>
      <w:pPr>
        <w:pStyle w:val="Heading2"/>
        <w:spacing w:after="120" w:before="320"/>
      </w:pPr>
      <w:r>
        <w:rPr>
          <w:rFonts w:ascii="Playfair Display" w:cs="Playfair Display" w:eastAsia="Playfair Display" w:hAnsi="Playfair Display"/>
          <w:b/>
          <w:bCs/>
          <w:color w:val="0c9d7c"/>
          <w:sz w:val="28"/>
          <w:szCs w:val="28"/>
        </w:rPr>
        <w:t xml:space="preserve">The five output categories</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Every flagged item is assigned to exactly one of five categories. The category drives where in the report the item appears and how the writer triages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7660"/>
      </w:tblGrid>
      <w:tr>
        <w:tc>
          <w:tcPr>
            <w:tcW w:type="dxa" w:w="170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Category</w:t>
            </w:r>
          </w:p>
        </w:tc>
        <w:tc>
          <w:tcPr>
            <w:tcW w:type="dxa" w:w="766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What it covers</w:t>
            </w:r>
          </w:p>
        </w:tc>
      </w:tr>
      <w:tr>
        <w:tc>
          <w:tcPr>
            <w:tcW w:type="dxa" w:w="170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Spelling</w:t>
            </w:r>
          </w:p>
        </w:tc>
        <w:tc>
          <w:tcPr>
            <w:tcW w:type="dxa" w:w="76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British spellings per the checklist. Flags US variants, drift, and plain misspellings.</w:t>
            </w:r>
          </w:p>
        </w:tc>
      </w:tr>
      <w:tr>
        <w:tc>
          <w:tcPr>
            <w:tcW w:type="dxa" w:w="170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Punctuation</w:t>
            </w:r>
          </w:p>
        </w:tc>
        <w:tc>
          <w:tcPr>
            <w:tcW w:type="dxa" w:w="76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Word-boundary spacing, hyphen vs en-dash in ranges, smart vs straight quotes, bracket conventions, slash usage, and other typographic rules in the checklist.</w:t>
            </w:r>
          </w:p>
        </w:tc>
      </w:tr>
      <w:tr>
        <w:tc>
          <w:tcPr>
            <w:tcW w:type="dxa" w:w="170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Style</w:t>
            </w:r>
          </w:p>
        </w:tc>
        <w:tc>
          <w:tcPr>
            <w:tcW w:type="dxa" w:w="76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Abbreviation format, units of measurement, number formatting, capitalisation conventions, italics and bold use, footnote symbol usage. Flagged only against documented rules.</w:t>
            </w:r>
          </w:p>
        </w:tc>
      </w:tr>
      <w:tr>
        <w:tc>
          <w:tcPr>
            <w:tcW w:type="dxa" w:w="170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Reference</w:t>
            </w:r>
          </w:p>
        </w:tc>
        <w:tc>
          <w:tcPr>
            <w:tcW w:type="dxa" w:w="76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Citation style per the references section of the checklist, footnote and endnote sequence, superscript placement, marker-to-reference-list integrity.</w:t>
            </w:r>
          </w:p>
        </w:tc>
      </w:tr>
      <w:tr>
        <w:tc>
          <w:tcPr>
            <w:tcW w:type="dxa" w:w="170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Terminology</w:t>
            </w:r>
          </w:p>
        </w:tc>
        <w:tc>
          <w:tcPr>
            <w:tcW w:type="dxa" w:w="76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Disease, drug, ingredient, and clinical terminology against the loaded brand's Approved Terms file. Includes brand name capitalisation and registered or trademark symbol usage.</w:t>
            </w:r>
          </w:p>
        </w:tc>
      </w:tr>
    </w:tbl>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How it works</w:t>
      </w:r>
    </w:p>
    <w:p>
      <w:pPr>
        <w:pStyle w:val="Heading2"/>
        <w:spacing w:after="120" w:before="320"/>
      </w:pPr>
      <w:r>
        <w:rPr>
          <w:rFonts w:ascii="Playfair Display" w:cs="Playfair Display" w:eastAsia="Playfair Display" w:hAnsi="Playfair Display"/>
          <w:b/>
          <w:bCs/>
          <w:color w:val="0c9d7c"/>
          <w:sz w:val="28"/>
          <w:szCs w:val="28"/>
        </w:rPr>
        <w:t xml:space="preserve">Reference loading</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All reference material for this skill lives in the shared Skill references/ folder of the skills S3 bucket. The skill bundle itself contains only the SKILL.md. Nothing is bundled inside the .skill zip and nothing is read from the brand-scoped knowledge base for reference content. Files loaded via get_skill_reference: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Ward7 Rules Checklist.md : the canonical rules checklist, the single source of truth for which rules the skill walks the document against. Loaded every run.</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Kisqali Approved Terms.md : loaded only when the detected brand is Kisqali.</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Kesimpta Approved Terms.md : loaded only when the detected brand is Kesimpta.</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The Ward 7 house style and references style .docx files are NOT loaded at runtime. They are source documents that human authors use to maintain the canonical checklist. The skill consumes the checklist directly. A rule that appears in the source documents but not in the checklist is not enforced, by design. Adding new rules requires updating the checklist file.</w:t>
      </w:r>
    </w:p>
    <w:p>
      <w:pPr>
        <w:pStyle w:val="Heading2"/>
        <w:spacing w:after="120" w:before="320"/>
      </w:pPr>
      <w:r>
        <w:rPr>
          <w:rFonts w:ascii="Playfair Display" w:cs="Playfair Display" w:eastAsia="Playfair Display" w:hAnsi="Playfair Display"/>
          <w:b/>
          <w:bCs/>
          <w:color w:val="0c9d7c"/>
          <w:sz w:val="28"/>
          <w:szCs w:val="28"/>
        </w:rPr>
        <w:t xml:space="preserve">The static rules checklist</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The Ward 7 Rules Checklist is a markdown file containing every adopted rule the skill enforces. Each row carries four fields: rule_id (a stable identifier such as HS-SP-001), category (one of the five), statement (a short version of the rule, under 20 words), and source (the source document section the rule comes from).</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Stable rule_ids are critical: historical reports cite specific IDs, and the cited-rule line on every item names the ID it was tied to. When the team updates a rule, the practice is to update the statement in place (keeping the ID) or deprecate the old row and add a new one with a new ID.</w:t>
      </w:r>
    </w:p>
    <w:p>
      <w:pPr>
        <w:pStyle w:val="Heading2"/>
        <w:spacing w:after="120" w:before="320"/>
      </w:pPr>
      <w:r>
        <w:rPr>
          <w:rFonts w:ascii="Playfair Display" w:cs="Playfair Display" w:eastAsia="Playfair Display" w:hAnsi="Playfair Display"/>
          <w:b/>
          <w:bCs/>
          <w:color w:val="0c9d7c"/>
          <w:sz w:val="28"/>
          <w:szCs w:val="28"/>
        </w:rPr>
        <w:t xml:space="preserve">Two-pronged brand detection</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Before walking the document, the skill identifies which brand it is checking. The brand determines which Approved Terms file is loaded.</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Step 1, auto-detect from the brand-scoped knowledge base. The skill scans visible filenames in the brand's KB for substrings matching the supported brand list (Kisqali and Kesimpta). If exactly one brand matches, that is the detected brand, and the user is asked to confirm.</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Step 2, fall back to asking the user. If detection finds zero matches, multiple matches, or the user rejects the detected brand, the skill asks which brand the proof check is for (Kisqali and Kesimpta).</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Step 3, load the matching Approved Terms file from Skill references/ via get_skill_reference. The detected brand and the dictionary filename are recorded for the output header. The brand-scoped knowledge base is used only as a detection signal.</w:t>
      </w:r>
    </w:p>
    <w:p>
      <w:pPr>
        <w:pStyle w:val="Heading2"/>
        <w:spacing w:after="120" w:before="320"/>
      </w:pPr>
      <w:r>
        <w:rPr>
          <w:rFonts w:ascii="Playfair Display" w:cs="Playfair Display" w:eastAsia="Playfair Display" w:hAnsi="Playfair Display"/>
          <w:b/>
          <w:bCs/>
          <w:color w:val="0c9d7c"/>
          <w:sz w:val="28"/>
          <w:szCs w:val="28"/>
        </w:rPr>
        <w:t xml:space="preserve">The step-by-step process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Read the PDF page by page using a deterministic text-extraction library. Detect scanned PDFs (no extractable text) and ask the user to OCR before continuing.</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Load the canonical Ward 7 Rules Checklist from Skill references/.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Run two-pronged brand detection. Load the matching Approved Terms file.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Walk the document against the rules checklist. For each rule, record exactly one outcome overall: Violated, Not violated, or Not applicable. Every rule must be tested; skipping a rule is not allowed.</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Run the dedicated reference integrity pass. Flag orphaned markers, missing reference list entries, out-of-sequence numbered references, and footnote symbol-order violations.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Emit one item per instance, each carrying its rule_id. Do not consolidate in-prompt: the Lambda merges items sharing a key.</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Separate Low-confidence items into judgment_notes. Build the audit rows, one per rule walked.</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Make a single render_findings_report tool call with the structured payload (items, judgment_notes, audit, meta, report_title, disclaimer, filename). The Lambda numbers, highlights, badges, consolidates, totals, and returns the .docx.</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Present the chat summary line with the total and category breakdown.</w:t>
      </w:r>
    </w:p>
    <w:p>
      <w:pPr>
        <w:pStyle w:val="Heading2"/>
        <w:spacing w:after="120" w:before="320"/>
      </w:pPr>
      <w:r>
        <w:rPr>
          <w:rFonts w:ascii="Playfair Display" w:cs="Playfair Display" w:eastAsia="Playfair Display" w:hAnsi="Playfair Display"/>
          <w:b/>
          <w:bCs/>
          <w:color w:val="0c9d7c"/>
          <w:sz w:val="28"/>
          <w:szCs w:val="28"/>
        </w:rPr>
        <w:t xml:space="preserve">Reference integrity pass</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The integrity pass is a discrete step, separated from the per-page walk, because folding it into the page walk is the most common way to miss orphaned markers and missing references. The pass builds two sets and diffs them: every distinct footnote marker, superscript, and inline citation in body copy (with its page), and every entry in the document's reference list (with its page).</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Diffing the two sets surfaces any marker in body without a matching reference list entry (High confidence) and any reference entry not cited anywhere (also High). A sequence check confirms numbered markers appear in ascending order with no gaps. A symbol-order check confirms symbolic markers follow the documented order (asterisk first). If body copy contains citation markers but no reference list section exists, the skill adds a single document-level entry at Medium confidence.</w:t>
      </w:r>
    </w:p>
    <w:p>
      <w:pPr>
        <w:pStyle w:val="Heading2"/>
        <w:spacing w:after="120" w:before="320"/>
      </w:pPr>
      <w:r>
        <w:rPr>
          <w:rFonts w:ascii="Playfair Display" w:cs="Playfair Display" w:eastAsia="Playfair Display" w:hAnsi="Playfair Display"/>
          <w:b/>
          <w:bCs/>
          <w:color w:val="0c9d7c"/>
          <w:sz w:val="28"/>
          <w:szCs w:val="28"/>
        </w:rPr>
        <w:t xml:space="preserve">Cross-document consistency: two patterns, merged server-side</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Consolidation is now automatic and server-side; the skill emits one item per instance and the Lambda merges items sharing a rule_id.</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Pattern A, variant drift. The same term, brand, abbreviation, footnote symbol, unit, or punctuation form is rendered differently across the document, even when each individual instance is technically acceptable. Each variant is emitted with the shared key and merges into one entry.</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Pattern B, recurring same-rule violation. The same documented rule is broken the same way more than once. Instances carry the shared rule_id and merge into one entry. Each consolidated entry counts as exactly one item toward its category total.</w:t>
      </w:r>
    </w:p>
    <w:p>
      <w:pPr>
        <w:pStyle w:val="Heading2"/>
        <w:spacing w:after="120" w:before="320"/>
      </w:pPr>
      <w:r>
        <w:rPr>
          <w:rFonts w:ascii="Playfair Display" w:cs="Playfair Display" w:eastAsia="Playfair Display" w:hAnsi="Playfair Display"/>
          <w:b/>
          <w:bCs/>
          <w:color w:val="0c9d7c"/>
          <w:sz w:val="28"/>
          <w:szCs w:val="28"/>
        </w:rPr>
        <w:t xml:space="preserve">Confidence levels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7660"/>
      </w:tblGrid>
      <w:tr>
        <w:tc>
          <w:tcPr>
            <w:tcW w:type="dxa" w:w="170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Confidence</w:t>
            </w:r>
          </w:p>
        </w:tc>
        <w:tc>
          <w:tcPr>
            <w:tcW w:type="dxa" w:w="766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Meaning</w:t>
            </w:r>
          </w:p>
        </w:tc>
      </w:tr>
      <w:tr>
        <w:tc>
          <w:tcPr>
            <w:tcW w:type="dxa" w:w="170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High</w:t>
            </w:r>
          </w:p>
        </w:tc>
        <w:tc>
          <w:tcPr>
            <w:tcW w:type="dxa" w:w="76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Objective error. The document contradicts a documented rule on the checklist or fails an integrity test.</w:t>
            </w:r>
          </w:p>
        </w:tc>
      </w:tr>
      <w:tr>
        <w:tc>
          <w:tcPr>
            <w:tcW w:type="dxa" w:w="170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Medium</w:t>
            </w:r>
          </w:p>
        </w:tc>
        <w:tc>
          <w:tcPr>
            <w:tcW w:type="dxa" w:w="76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Likely issue. The pattern usually indicates an error but depends on context the skill cannot see, such as a term that might be a proper noun or a missing registered symbol that might be a vector-text extraction artefact.</w:t>
            </w:r>
          </w:p>
        </w:tc>
      </w:tr>
      <w:tr>
        <w:tc>
          <w:tcPr>
            <w:tcW w:type="dxa" w:w="170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Low</w:t>
            </w:r>
          </w:p>
        </w:tc>
        <w:tc>
          <w:tcPr>
            <w:tcW w:type="dxa" w:w="76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Judgement call. The house style is silent or ambiguous, or the issue depends on editorial preference. These items move to the Judgment notes section and are not counted in the main category totals.</w:t>
            </w:r>
          </w:p>
        </w:tc>
      </w:tr>
    </w:tbl>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Outputs</w:t>
      </w:r>
    </w:p>
    <w:p>
      <w:pPr>
        <w:pStyle w:val="Heading2"/>
        <w:spacing w:after="120" w:before="320"/>
      </w:pPr>
      <w:r>
        <w:rPr>
          <w:rFonts w:ascii="Playfair Display" w:cs="Playfair Display" w:eastAsia="Playfair Display" w:hAnsi="Playfair Display"/>
          <w:b/>
          <w:bCs/>
          <w:color w:val="0c9d7c"/>
          <w:sz w:val="28"/>
          <w:szCs w:val="28"/>
        </w:rPr>
        <w:t xml:space="preserve">Chat summary line</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Before the Word document link, the skill posts a one-line summary of the total items found, broken down by category. Categories with zero items are included so the writer sees the full picture.</w:t>
      </w:r>
    </w:p>
    <w:p>
      <w:pPr>
        <w:spacing w:after="5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c9d7c" w:sz="3"/>
              <w:left w:val="single" w:color="0c9d7c" w:sz="20"/>
              <w:bottom w:val="single" w:color="0c9d7c" w:sz="3"/>
              <w:right w:val="single" w:color="0c9d7c" w:sz="3"/>
            </w:tcBorders>
            <w:shd w:fill="E8F8F4" w:val="clear"/>
            <w:tcMar>
              <w:top w:type="dxa" w:w="140"/>
              <w:left w:type="dxa" w:w="220"/>
              <w:bottom w:type="dxa" w:w="140"/>
              <w:right w:type="dxa" w:w="220"/>
            </w:tcMar>
          </w:tcPr>
          <w:p>
            <w:r>
              <w:rPr>
                <w:rFonts w:ascii="Plus Jakarta Sans" w:cs="Plus Jakarta Sans" w:eastAsia="Plus Jakarta Sans" w:hAnsi="Plus Jakarta Sans"/>
                <w:b/>
                <w:bCs/>
                <w:color w:val="0c9d7c"/>
                <w:sz w:val="19"/>
                <w:szCs w:val="19"/>
              </w:rPr>
              <w:t xml:space="preserve">Example:  </w:t>
            </w:r>
            <w:r>
              <w:rPr>
                <w:rFonts w:ascii="Plus Jakarta Sans" w:cs="Plus Jakarta Sans" w:eastAsia="Plus Jakarta Sans" w:hAnsi="Plus Jakarta Sans"/>
                <w:i/>
                <w:iCs/>
                <w:color w:val="1A5C4A"/>
                <w:sz w:val="19"/>
                <w:szCs w:val="19"/>
              </w:rPr>
              <w:t xml:space="preserve">Found 23 items: 12 spelling, 6 punctuation, 3 style, 2 references, 0 terminology.</w:t>
            </w:r>
          </w:p>
        </w:tc>
      </w:tr>
    </w:tbl>
    <w:p>
      <w:pPr>
        <w:pStyle w:val="Heading2"/>
        <w:spacing w:after="120" w:before="320"/>
      </w:pPr>
      <w:r>
        <w:rPr>
          <w:rFonts w:ascii="Playfair Display" w:cs="Playfair Display" w:eastAsia="Playfair Display" w:hAnsi="Playfair Display"/>
          <w:b/>
          <w:bCs/>
          <w:color w:val="0c9d7c"/>
          <w:sz w:val="28"/>
          <w:szCs w:val="28"/>
        </w:rPr>
        <w:t xml:space="preserve">Word document layout</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The deliverable is a single Word document, named &lt;source-name&gt;_proof-check.docx, rendered by render_findings_report from the structured findings. The Lambda owns the layout:</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Header block (the :::meta box) with the source filename, page count, house style name, detected brand, and dictionary filename. The generated date is stamped server-side.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Totals line with the per-category breakdown, counting only High and Medium items, plus a separate line counting any judgment notes.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Items in document order, each consolidated by rule_id. Each item shows a number, page, category, a shaded confidence badge, a blockquoted context snippet with the flagged span highlighted in yellow, the issue, and an italic cited-rule line.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Judgment notes section for Low-confidence items, numbered [J1], [J2], omitted entirely if there are none.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Audit table titled 'Audit — rules checklist iteration', listing every rule on the checklist with its outcome (Violated, Not violated, or Not applicable) and the pages where violations occur.</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Footer disclaimer specific to the proof-check skill.</w:t>
      </w:r>
    </w:p>
    <w:p>
      <w:pPr>
        <w:pStyle w:val="Heading2"/>
        <w:spacing w:after="120" w:before="320"/>
      </w:pPr>
      <w:r>
        <w:rPr>
          <w:rFonts w:ascii="Playfair Display" w:cs="Playfair Display" w:eastAsia="Playfair Display" w:hAnsi="Playfair Display"/>
          <w:b/>
          <w:bCs/>
          <w:color w:val="0c9d7c"/>
          <w:sz w:val="28"/>
          <w:szCs w:val="28"/>
        </w:rPr>
        <w:t xml:space="preserve">Audit table</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The audit table appears near the end of every output document and lists every rule on the checklist alongside its outcome. It is the visible evidence that the rules checklist was iterated in full. Items in the main Items section must correspond to Violated rows, and Violated rows must produce at least one item. The two parts of the report cross-check each other. A short or incomplete table is a signal that something went wrong; a complete one is grounds for confidence in the report.</w:t>
      </w:r>
    </w:p>
    <w:p>
      <w:pPr>
        <w:pStyle w:val="Heading2"/>
        <w:spacing w:after="120" w:before="320"/>
      </w:pPr>
      <w:r>
        <w:rPr>
          <w:rFonts w:ascii="Playfair Display" w:cs="Playfair Display" w:eastAsia="Playfair Display" w:hAnsi="Playfair Display"/>
          <w:b/>
          <w:bCs/>
          <w:color w:val="0c9d7c"/>
          <w:sz w:val="28"/>
          <w:szCs w:val="28"/>
        </w:rPr>
        <w:t xml:space="preserve">Judgment notes</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Judgment notes are Low-confidence observations where the house style is silent or the situation is genuinely ambiguous. They are surfaced because the writer may still want to make a deliberate call, but they are not flagged as violations and do not count in the headline totals. Each opens with 'House style is silent on...' or 'Rule is ambiguous on...', which is the test for whether something belongs here rather than in the main Items section.</w:t>
      </w:r>
    </w:p>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Edge cases and limitations</w:t>
      </w:r>
    </w:p>
    <w:p>
      <w:pPr>
        <w:pStyle w:val="Heading2"/>
        <w:spacing w:after="120" w:before="320"/>
      </w:pPr>
      <w:r>
        <w:rPr>
          <w:rFonts w:ascii="Playfair Display" w:cs="Playfair Display" w:eastAsia="Playfair Display" w:hAnsi="Playfair Display"/>
          <w:b/>
          <w:bCs/>
          <w:color w:val="0c9d7c"/>
          <w:sz w:val="28"/>
          <w:szCs w:val="28"/>
        </w:rPr>
        <w:t xml:space="preserve">Headline-count stability</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In the earlier markdown approach, the headline count could vary noticeably between runs of the same document because repeated violations were consolidated in-prompt and that step did not collapse identically each run. The current version moves consolidation into the Lambda, where it is deterministic: the same defect always collapses to one entry, so repeated-issue counts are now stable. Some residual variation can still occur on genuinely borderline judgment calls (for example whether a single compound-adjective hyphenation is flagged), because the underlying model may decide a borderline case differently between runs. The guidance remains to read the report as a structured second read: every flag is anchored to a documented rule named in its cited-rule line and confirmed in the audit table, and for a high-stakes piece, running the check two or three times and combining the flags gives broader coverage.</w:t>
      </w:r>
    </w:p>
    <w:p>
      <w:pPr>
        <w:pStyle w:val="Heading2"/>
        <w:spacing w:after="120" w:before="320"/>
      </w:pPr>
      <w:r>
        <w:rPr>
          <w:rFonts w:ascii="Playfair Display" w:cs="Playfair Display" w:eastAsia="Playfair Display" w:hAnsi="Playfair Display"/>
          <w:b/>
          <w:bCs/>
          <w:color w:val="0c9d7c"/>
          <w:sz w:val="28"/>
          <w:szCs w:val="28"/>
        </w:rPr>
        <w:t xml:space="preserve">Scanned PDFs</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If the total extractable text across the PDF is under approximately 200 characters but the document has more than one page, the skill treats it as scanned and stops. The user is asked to OCR the PDF first.</w:t>
      </w:r>
    </w:p>
    <w:p>
      <w:pPr>
        <w:pStyle w:val="Heading2"/>
        <w:spacing w:after="120" w:before="320"/>
      </w:pPr>
      <w:r>
        <w:rPr>
          <w:rFonts w:ascii="Playfair Display" w:cs="Playfair Display" w:eastAsia="Playfair Display" w:hAnsi="Playfair Display"/>
          <w:b/>
          <w:bCs/>
          <w:color w:val="0c9d7c"/>
          <w:sz w:val="28"/>
          <w:szCs w:val="28"/>
        </w:rPr>
        <w:t xml:space="preserve">Vector text in graphs and infographics</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Design PDFs often contain text inside graphs, infographic art, image-only callouts, and brand wordmarks rendered as vector outlines. This text is typically not extractable. The skill notes this limitation and does not attempt to flag content it cannot read.</w:t>
      </w:r>
    </w:p>
    <w:p>
      <w:pPr>
        <w:pStyle w:val="Heading2"/>
        <w:spacing w:after="120" w:before="320"/>
      </w:pPr>
      <w:r>
        <w:rPr>
          <w:rFonts w:ascii="Playfair Display" w:cs="Playfair Display" w:eastAsia="Playfair Display" w:hAnsi="Playfair Display"/>
          <w:b/>
          <w:bCs/>
          <w:color w:val="0c9d7c"/>
          <w:sz w:val="28"/>
          <w:szCs w:val="28"/>
        </w:rPr>
        <w:t xml:space="preserve">Documents without reliable page numbers</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Some sources carry no usable page numbers — compressed or interactive PDFs, e-detailers, and IVAs (interactive visual aids) often have no embedded pagination, or the runtime's physical page numbers don't match the piece's own pages. When a page number would not help the writer find an issue, Proof Check switches to a section-based locator rather than emitting a misleading page number.</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It locates each finding by, most-identifying first: the main section from the piece's navigation or menu; the nearest preceding heading; then any other cue (panel, callout, sidebar, CTA, slide label, or paragraph index). These render in place of the page reference — for example “Efficacy (‘Proven OS benefit’ heading, ¶2)” — and the report header notes that page numbers were not available. The skill uses one mode per run: page numbers when they are reliable, section locators when they are not.</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When the location fallback is active, the opening summary carries a fixed sentence — verbatim, no paraphrasing — stating that the document has no reliable page numbers and that locations are given as section then nearest heading. Findings and the rules-checklist audit both use the same section-based locators throughout the run.</w:t>
      </w:r>
    </w:p>
    <w:p>
      <w:pPr>
        <w:pStyle w:val="Heading2"/>
        <w:spacing w:after="120" w:before="320"/>
      </w:pPr>
      <w:r>
        <w:rPr>
          <w:rFonts w:ascii="Playfair Display" w:cs="Playfair Display" w:eastAsia="Playfair Display" w:hAnsi="Playfair Display"/>
          <w:b/>
          <w:bCs/>
          <w:color w:val="0c9d7c"/>
          <w:sz w:val="28"/>
          <w:szCs w:val="28"/>
        </w:rPr>
        <w:t xml:space="preserve">Missing registered or trademark symbol on first mention</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Trademark and registered symbols typeset inside vector text in a design PDF often fail to extract to plain text. A missing symbol in extracted text may be a real omission or a benign extraction artefact, so the skill flags these at Medium confidence with a note asking the writer to verify against the source artwork.</w:t>
      </w:r>
    </w:p>
    <w:p>
      <w:pPr>
        <w:pStyle w:val="Heading2"/>
        <w:spacing w:after="120" w:before="320"/>
      </w:pPr>
      <w:r>
        <w:rPr>
          <w:rFonts w:ascii="Playfair Display" w:cs="Playfair Display" w:eastAsia="Playfair Display" w:hAnsi="Playfair Display"/>
          <w:b/>
          <w:bCs/>
          <w:color w:val="0c9d7c"/>
          <w:sz w:val="28"/>
          <w:szCs w:val="28"/>
        </w:rPr>
        <w:t xml:space="preserve">Tables and images</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Where a table flag would otherwise apply, the skill expresses the content as a bulleted list inside the item. Images in the source PDF are not extracted; vector text inside images is noted as a limitation.</w:t>
      </w:r>
    </w:p>
    <w:p>
      <w:pPr>
        <w:pStyle w:val="Heading2"/>
        <w:spacing w:after="120" w:before="320"/>
      </w:pPr>
      <w:r>
        <w:rPr>
          <w:rFonts w:ascii="Playfair Display" w:cs="Playfair Display" w:eastAsia="Playfair Display" w:hAnsi="Playfair Display"/>
          <w:b/>
          <w:bCs/>
          <w:color w:val="0c9d7c"/>
          <w:sz w:val="28"/>
          <w:szCs w:val="28"/>
        </w:rPr>
        <w:t xml:space="preserve">PROPOSED rules in the source documents</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The Ward 7 House Style document contains sections marked [PROPOSED] that are draft additions not yet adopted by the team. These are deliberately excluded from the Rules Checklist. If the team adopts a proposed section, the checklist is updated to include the new rules with stable IDs.</w:t>
      </w:r>
    </w:p>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Technical architecture</w:t>
      </w:r>
    </w:p>
    <w:p>
      <w:pPr>
        <w:pStyle w:val="Heading2"/>
        <w:spacing w:after="120" w:before="320"/>
      </w:pPr>
      <w:r>
        <w:rPr>
          <w:rFonts w:ascii="Playfair Display" w:cs="Playfair Display" w:eastAsia="Playfair Display" w:hAnsi="Playfair Display"/>
          <w:b/>
          <w:bCs/>
          <w:color w:val="0c9d7c"/>
          <w:sz w:val="28"/>
          <w:szCs w:val="28"/>
        </w:rPr>
        <w:t xml:space="preserve">The skill bundle</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The packaged ward7-proof-check-lambda .skill contains exactly one file: SKILL.md. No bundled scripts, no bundled references, no helper assets.</w:t>
      </w:r>
    </w:p>
    <w:p>
      <w:pPr>
        <w:pStyle w:val="Heading2"/>
        <w:spacing w:after="120" w:before="320"/>
      </w:pPr>
      <w:r>
        <w:rPr>
          <w:rFonts w:ascii="Playfair Display" w:cs="Playfair Display" w:eastAsia="Playfair Display" w:hAnsi="Playfair Display"/>
          <w:b/>
          <w:bCs/>
          <w:color w:val="0c9d7c"/>
          <w:sz w:val="28"/>
          <w:szCs w:val="28"/>
        </w:rPr>
        <w:t xml:space="preserve">Skill references/ folder</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Reference content lives in the shared Skill references/ folder in the skills S3 bucket, updated centrally without re-bundling skills. Filenames the skill reads: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Filename</w:t>
            </w:r>
          </w:p>
        </w:tc>
        <w:tc>
          <w:tcPr>
            <w:tcW w:type="dxa" w:w="636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When loaded</w:t>
            </w:r>
          </w:p>
        </w:tc>
      </w:tr>
      <w:tr>
        <w:tc>
          <w:tcPr>
            <w:tcW w:type="dxa" w:w="300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Ward7 Rules Checklist.md</w:t>
            </w:r>
          </w:p>
        </w:tc>
        <w:tc>
          <w:tcPr>
            <w:tcW w:type="dxa" w:w="63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Every run. Required. The single source of truth for the rules walked.</w:t>
            </w:r>
          </w:p>
        </w:tc>
      </w:tr>
      <w:tr>
        <w:tc>
          <w:tcPr>
            <w:tcW w:type="dxa" w:w="300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Kisqali Approved Terms.md</w:t>
            </w:r>
          </w:p>
        </w:tc>
        <w:tc>
          <w:tcPr>
            <w:tcW w:type="dxa" w:w="63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When the detected brand is Kisqali.</w:t>
            </w:r>
          </w:p>
        </w:tc>
      </w:tr>
      <w:tr>
        <w:tc>
          <w:tcPr>
            <w:tcW w:type="dxa" w:w="300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Kesimpta Approved Terms.md</w:t>
            </w:r>
          </w:p>
        </w:tc>
        <w:tc>
          <w:tcPr>
            <w:tcW w:type="dxa" w:w="63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When the detected brand is Kesimpta.</w:t>
            </w:r>
          </w:p>
        </w:tc>
      </w:tr>
    </w:tbl>
    <w:p>
      <w:pPr>
        <w:pStyle w:val="Heading2"/>
        <w:spacing w:after="120" w:before="320"/>
      </w:pPr>
      <w:r>
        <w:rPr>
          <w:rFonts w:ascii="Playfair Display" w:cs="Playfair Display" w:eastAsia="Playfair Display" w:hAnsi="Playfair Display"/>
          <w:b/>
          <w:bCs/>
          <w:color w:val="0c9d7c"/>
          <w:sz w:val="28"/>
          <w:szCs w:val="28"/>
        </w:rPr>
        <w:t xml:space="preserve">The render_findings_report tool</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Output is rendered by render_findings_report, a Lambda tool that accepts only structured fields (items, judgment_notes, audit, meta, note, report_title, disclaimer, filename) and has no free-text content field. With no free-text field, the skill must supply structured data, which is what guarantees the deterministic consolidation, the confidence badges, and the yellow highlighting. The skill assembles a single payload and makes one tool call; the Lambda groups items by rule_id, numbers them, highlights the flagged spans, draws the badges and the audit table, computes the totals, and returns the .docx. A complementary runtime restriction that scopes the report skills to this tool is the hard guarantee that the free-text path cannot be reached.</w:t>
      </w:r>
    </w:p>
    <w:p>
      <w:pPr>
        <w:pStyle w:val="Heading2"/>
        <w:spacing w:after="120" w:before="320"/>
      </w:pPr>
      <w:r>
        <w:rPr>
          <w:rFonts w:ascii="Playfair Display" w:cs="Playfair Display" w:eastAsia="Playfair Display" w:hAnsi="Playfair Display"/>
          <w:b/>
          <w:bCs/>
          <w:color w:val="0c9d7c"/>
          <w:sz w:val="28"/>
          <w:szCs w:val="28"/>
        </w:rPr>
        <w:t xml:space="preserve">Output disclaimer</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Every output Word document carries a footer disclaimer, stamped by the skill via the disclaimer field, noting that the report was generated by an AI proof-check skill and that all flagged items must be reviewed and verified against the source artwork before being treated as actionable corrections.</w:t>
      </w:r>
    </w:p>
    <w:p>
      <w:pPr>
        <w:pStyle w:val="Heading2"/>
        <w:spacing w:after="120" w:before="320"/>
      </w:pPr>
      <w:r>
        <w:rPr>
          <w:rFonts w:ascii="Playfair Display" w:cs="Playfair Display" w:eastAsia="Playfair Display" w:hAnsi="Playfair Display"/>
          <w:b/>
          <w:bCs/>
          <w:color w:val="0c9d7c"/>
          <w:sz w:val="28"/>
          <w:szCs w:val="28"/>
        </w:rPr>
        <w:t xml:space="preserve">Versioning</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This is version 10.0 (May 2026): the structured render_findings_report path with deterministic consolidation, real highlighting, confidence badges, and an own-skill footer disclaimer, built on the static rules checklist. The earlier markdown approach used the export_docx path with bolded spans and in-prompt consolidation.</w:t>
      </w:r>
    </w:p>
    <w:p>
      <w:pPr>
        <w:spacing w:after="5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565C0" w:sz="3"/>
              <w:left w:val="single" w:color="1565C0" w:sz="20"/>
              <w:bottom w:val="single" w:color="1565C0" w:sz="3"/>
              <w:right w:val="single" w:color="1565C0" w:sz="3"/>
            </w:tcBorders>
            <w:shd w:fill="EEF4FB" w:val="clear"/>
            <w:tcMar>
              <w:top w:type="dxa" w:w="140"/>
              <w:left w:type="dxa" w:w="220"/>
              <w:bottom w:type="dxa" w:w="140"/>
              <w:right w:type="dxa" w:w="220"/>
            </w:tcMar>
          </w:tcPr>
          <w:p>
            <w:r>
              <w:rPr>
                <w:rFonts w:ascii="Plus Jakarta Sans" w:cs="Plus Jakarta Sans" w:eastAsia="Plus Jakarta Sans" w:hAnsi="Plus Jakarta Sans"/>
                <w:b/>
                <w:bCs/>
                <w:color w:val="1565C0"/>
                <w:sz w:val="19"/>
                <w:szCs w:val="19"/>
              </w:rPr>
              <w:t xml:space="preserve">Worth knowing:  </w:t>
            </w:r>
            <w:r>
              <w:rPr>
                <w:rFonts w:ascii="Plus Jakarta Sans" w:cs="Plus Jakarta Sans" w:eastAsia="Plus Jakarta Sans" w:hAnsi="Plus Jakarta Sans"/>
                <w:i/>
                <w:iCs/>
                <w:color w:val="1A3A5C"/>
                <w:sz w:val="19"/>
                <w:szCs w:val="19"/>
              </w:rPr>
              <w:t xml:space="preserve">Ward 7 Proof Check is one of five skills in the Ward 7 AI pilot. The Reference and Claim Checker maps claims to an approved library. The Document Element Extractor handles content extraction. Each skill is review-only or extraction-only; none rewrite the source draft.</w:t>
            </w:r>
          </w:p>
        </w:tc>
      </w:tr>
    </w:tbl>
    <w:sectPr>
      <w:footerReference w:type="default" r:id="rId8"/>
      <w:pgSz w:w="12240" w:h="15840" w:orient="portrait"/>
      <w:pgMar w:top="1440" w:right="144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D8D8" w:sz="2" w:space="6"/>
      </w:pBd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0" w:before="0"/>
            <w:jc w:val="left"/>
          </w:pPr>
          <w:r>
            <w:rPr>
              <w:rFonts w:ascii="Plus Jakarta Sans" w:cs="Plus Jakarta Sans" w:eastAsia="Plus Jakarta Sans" w:hAnsi="Plus Jakarta Sans"/>
              <w:color w:val="888888"/>
              <w:sz w:val="16"/>
              <w:szCs w:val="16"/>
            </w:rPr>
            <w:fldChar w:fldCharType="begin"/>
            <w:instrText xml:space="preserve">PAGE</w:instrText>
            <w:fldChar w:fldCharType="separate"/>
            <w:fldChar w:fldCharType="end"/>
          </w:r>
        </w:p>
      </w:tc>
      <w:tc>
        <w:tcPr>
          <w:tcW w:type="dxa" w:w="4680"/>
          <w:tcBorders>
            <w:top w:val="none" w:color="FFFFFF" w:sz="0"/>
            <w:left w:val="none" w:color="FFFFFF" w:sz="0"/>
            <w:bottom w:val="none" w:color="FFFFFF" w:sz="0"/>
            <w:right w:val="none" w:color="FFFFFF" w:sz="0"/>
          </w:tcBorders>
        </w:tcPr>
        <w:p>
          <w:pPr>
            <w:spacing w:after="0" w:before="0"/>
            <w:jc w:val="right"/>
          </w:pPr>
          <w:r>
            <w:drawing>
              <wp:inline distT="0" distB="0" distL="0" distR="0">
                <wp:extent cx="1066800" cy="1809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066800" cy="180975"/>
                        </a:xfrm>
                        <a:prstGeom prst="rect">
                          <a:avLst/>
                        </a:prstGeom>
                      </pic:spPr>
                    </pic:pic>
                  </a:graphicData>
                </a:graphic>
              </wp:inline>
            </w:drawing>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Plus Jakarta Sans" w:cs="Plus Jakarta Sans" w:eastAsia="Plus Jakarta Sans" w:hAnsi="Plus Jakarta Sans"/>
        <w:color w:val="0c9d7c"/>
        <w:sz w:val="20"/>
        <w:szCs w:val="2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lus Jakarta Sans" w:cs="Plus Jakarta Sans" w:eastAsia="Plus Jakarta Sans" w:hAnsi="Plus Jakarta Sans"/>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400"/>
      <w:outlineLvl w:val="0"/>
    </w:pPr>
    <w:rPr>
      <w:rFonts w:ascii="Playfair Display" w:cs="Playfair Display" w:eastAsia="Playfair Display" w:hAnsi="Playfair Display"/>
      <w:b/>
      <w:bCs/>
      <w:color w:val="0d0d0d"/>
      <w:sz w:val="40"/>
      <w:szCs w:val="40"/>
    </w:rPr>
  </w:style>
  <w:style w:type="paragraph" w:styleId="Heading2">
    <w:name w:val="Heading 2"/>
    <w:basedOn w:val="Normal"/>
    <w:next w:val="Normal"/>
    <w:qFormat/>
    <w:pPr>
      <w:spacing w:after="120" w:before="320"/>
      <w:outlineLvl w:val="1"/>
    </w:pPr>
    <w:rPr>
      <w:rFonts w:ascii="Playfair Display" w:cs="Playfair Display" w:eastAsia="Playfair Display" w:hAnsi="Playfair Display"/>
      <w:b/>
      <w:bCs/>
      <w:color w:val="0c9d7c"/>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1bb349644d2b616a807d42ccd177c7944ddc1601.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Relationship Id="rId0" Type="http://schemas.openxmlformats.org/officeDocument/2006/relationships/image" Target="media/04c4595c48c0633310bb212a99725f20a0d0a05d.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2026-05-29T01:43:28.400Z</dcterms:created>
  <dcterms:modified xsi:type="dcterms:W3CDTF">2026-05-29T01:43:28.400Z</dcterms:modified>
</cp:coreProperties>
</file>

<file path=docProps/custom.xml><?xml version="1.0" encoding="utf-8"?>
<Properties xmlns="http://schemas.openxmlformats.org/officeDocument/2006/custom-properties" xmlns:vt="http://schemas.openxmlformats.org/officeDocument/2006/docPropsVTypes"/>
</file>