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TWMG</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Ward 6 Proof Check</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Skill documentation · Ward 6 AI Pilot</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Version 10.0  ·  May 2026</w:t>
            </w:r>
          </w:p>
        </w:tc>
      </w:tr>
    </w:tbl>
    <w:p>
      <w:pPr>
        <w:sectPr>
          <w:footerReference w:type="default" r:id="rId7"/>
          <w:type w:val="nextPage"/>
          <w:pgSz w:w="12240" w:h="15840" w:orient="portrait"/>
          <w:pgMar w:top="0" w:right="0" w:bottom="0" w:left="0" w:header="708" w:footer="708" w:gutter="0"/>
          <w:pgNumType/>
          <w:docGrid w:linePitch="360"/>
        </w:sectPr>
      </w:pP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What's new in this version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This is version 10 of the Ward 6 Proof Check documentation. The skill renders the report through a structured path that makes it deterministic. An earlier approach fixed the rule-extraction problem with a static rules checklist, but it still assembled the report as markdown and sent it to the shared export_docx Lambda, which could only bold the flagged span (it could not highlight) and could not guarantee that repeated violations collapsed the same way each run. The current version sends structured data instead of prose, which closes the remaining variance.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headline changes: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Structured rendering tool. The Word document is now produced by a dedicated Lambda tool, render_findings_report, which accepts only structured data and has no free-text field. The skill emits its findings as a JSON items array (plus judgment_notes and audit rows). The Lambda owns the entire layout: item numbering, the totals line, the confidence badges, the highlighting, the consolidation, and the audit table. The skill no longer composes the report itself.</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Deterministic consolidation. Every finding carries its rule_id grouping key. The Lambda merges all findings sharing a key into one consolidated entry (DICT-001 is sub-grouped by the issue text), lists each instance, renumbers, and recomputes the totals, identically on every run. The in-prompt consolidation step that was the single biggest source of headline-count drift has been removed.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Real yellow highlighting. The flagged span inside each context snippet is now highlighted in yellow, rendered natively by the Lambda, and the confidence level is shown as a shaded badge rather than plain text. Earlier versions bolded the span because the old path could not highlight.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Stable rule citations carried as data. Every flagged item still ends with a cited-rule line naming the rule_id from the checklist (or an integrity-test label for the structural checks). The skill emits this as a field rather than writing it into markdown.</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Own-skill footer disclaimer. The skill stamps its own footer text via the disclaimer field, so the proof-check report carries proof-check wording.</w:t>
      </w:r>
    </w:p>
    <w:p>
      <w:pPr>
        <w:pStyle w:val="Heading2"/>
        <w:spacing w:after="120" w:before="320"/>
      </w:pPr>
      <w:r>
        <w:rPr>
          <w:rFonts w:ascii="Playfair Display" w:cs="Playfair Display" w:eastAsia="Playfair Display" w:hAnsi="Playfair Display"/>
          <w:b/>
          <w:bCs/>
          <w:color w:val="0c9d7c"/>
          <w:sz w:val="28"/>
          <w:szCs w:val="28"/>
        </w:rPr>
        <w:t xml:space="preserve">What you'll notice in the output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Each item now has a metadata line (item number, page, category), a shaded confidence badge, a blockquoted context snippet with the flagged span highlighted in yellow, a one-sentence issue, and an italic cited-rule line. The document opens with a header box and a Totals line that counts only High and Medium items, includes an optional Judgment notes section, and ends with the Audit table. Because the consolidation of repeated violations is now deterministic, the same defect always collapses to one entry, so the headline counts are far more stable run-to-run than under the earlier markdown approach.</w:t>
      </w: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This is a working pilot. The skill produces useful output today, but the medical writer remains responsible for every editorial decision. The proof-check report is a structured second read, not a substitute for professional judgement.</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Overview</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Ward 6 Proof Check reviews the text content of a finalised, design-ready PDF and flags spelling, punctuation, house-style, reference-formatting, and terminology issues for the medical writer to action.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A typical run takes a design-ready PDF as input, loads the canonical Ward 6 Rules Checklist and one brand-specific Approved Terms file from the shared Skill references/ folder, walks the document page by page against every rule on the checklist, and emits structured findings to render_findings_report, which produces a single Word document listing every flagged item in document order. The writer reads the report, decides which items to action, and applies changes in the source file.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This is the Ward 6 version of the skill. A parallel Ward 7 version exists for brands on that ward's style; only one ward's skill is uploaded to any given brand silo.</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Background and purpose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Medical writers receive design-ready PDFs from designers and need to verify the typeset text before signing off. The check requires several lenses: spelling against the loaded house style, brand and product name spelling, clinical terminology against an approved term dictionary, basic typographic and punctuation hygiene, and reference-formatting integrity.</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Proof Check gives the writer a structured, repeatable read of the typeset content. It surfaces issues and locates them; it does not suggest corrections or rewrite content. Every editorial decision stays with the medical writer.</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Scope</w:t>
      </w:r>
    </w:p>
    <w:p>
      <w:pPr>
        <w:pStyle w:val="Heading2"/>
        <w:spacing w:after="120" w:before="320"/>
      </w:pPr>
      <w:r>
        <w:rPr>
          <w:rFonts w:ascii="Playfair Display" w:cs="Playfair Display" w:eastAsia="Playfair Display" w:hAnsi="Playfair Display"/>
          <w:b/>
          <w:bCs/>
          <w:color w:val="0c9d7c"/>
          <w:sz w:val="28"/>
          <w:szCs w:val="28"/>
        </w:rPr>
        <w:t xml:space="preserve">In scope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Finalised, design-ready PDF inputs (single file at a time).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British spelling (-ise, -our, -ae, -oe endings) against the loaded Ward 6 Rules Checklist.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Brand and product name spelling, capitalisation, and trademark symbol usage.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Clinical, drug, ingredient, disease, and terminology checks against the loaded brand's Approved Terms file (Veltassa and Maviret).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Punctuation and typographic rules documented in the checklist.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Style rules documented in the checklist (abbreviation format, units of measurement, number formatting, capitalisation conventions, footnotes).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Reference list and in-text citation formatting per the checklist, plus footnote and superscript integrity.</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Cross-document consistency: terms or rules rendered inconsistently across pages.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Loading the canonical Ward 6 Rules Checklist and the matching brand's Approved Terms file from the shared Skill references/ folder via get_skill_reference.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Two-pronged brand detection at runtime (filename match in the brand-scoped knowledge base, with a fall-back ask if detection is ambiguous).</w:t>
      </w:r>
    </w:p>
    <w:p>
      <w:pPr>
        <w:pStyle w:val="Heading2"/>
        <w:spacing w:after="120" w:before="320"/>
      </w:pPr>
      <w:r>
        <w:rPr>
          <w:rFonts w:ascii="Playfair Display" w:cs="Playfair Display" w:eastAsia="Playfair Display" w:hAnsi="Playfair Display"/>
          <w:b/>
          <w:bCs/>
          <w:color w:val="0c9d7c"/>
          <w:sz w:val="28"/>
          <w:szCs w:val="28"/>
        </w:rPr>
        <w:t xml:space="preserve">Out of scope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Suggesting corrections or rewriting any flagged text.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Editing the source artwork or the PDF directly.</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Loading reference files outside the supported set (the canonical checklist and the brand-specific Approved Terms file).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Compliance checking against the TGA or Medicines Australia Code, or claim-to-approved-list mapping. These are handled by the Reference and Claim Checker skill.</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Content extraction (claims, references, mandatories). Handled by the Document Element Extractor skill.</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Word, plain-text, or scanned PDF inputs in this version.</w:t>
      </w:r>
    </w:p>
    <w:p>
      <w:pPr>
        <w:pStyle w:val="Heading2"/>
        <w:spacing w:after="120" w:before="320"/>
      </w:pPr>
      <w:r>
        <w:rPr>
          <w:rFonts w:ascii="Playfair Display" w:cs="Playfair Display" w:eastAsia="Playfair Display" w:hAnsi="Playfair Display"/>
          <w:b/>
          <w:bCs/>
          <w:color w:val="0c9d7c"/>
          <w:sz w:val="28"/>
          <w:szCs w:val="28"/>
        </w:rPr>
        <w:t xml:space="preserve">The five output categories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Every flagged item is assigned to exactly one of five categories. The category drives where in the report the item appears and how the writer triages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c>
          <w:tcPr>
            <w:tcW w:type="dxa" w:w="17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Category</w:t>
            </w:r>
          </w:p>
        </w:tc>
        <w:tc>
          <w:tcPr>
            <w:tcW w:type="dxa" w:w="76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What it covers</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Spelling</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British spellings per the checklist. Flags US variants, drift, and plain misspellings.</w:t>
            </w:r>
          </w:p>
        </w:tc>
      </w:tr>
      <w:tr>
        <w:tc>
          <w:tcPr>
            <w:tcW w:type="dxa" w:w="17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Punctuation</w:t>
            </w:r>
          </w:p>
        </w:tc>
        <w:tc>
          <w:tcPr>
            <w:tcW w:type="dxa" w:w="76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Word-boundary spacing, hyphen vs en-dash in ranges, smart vs straight quotes, bracket conventions, slash usage, and other typographic rules in the checklist.</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Style</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Abbreviation format, units of measurement, number formatting, capitalisation conventions, italics and bold use, footnote symbol usage. Flagged only against documented rules.</w:t>
            </w:r>
          </w:p>
        </w:tc>
      </w:tr>
      <w:tr>
        <w:tc>
          <w:tcPr>
            <w:tcW w:type="dxa" w:w="17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Reference</w:t>
            </w:r>
          </w:p>
        </w:tc>
        <w:tc>
          <w:tcPr>
            <w:tcW w:type="dxa" w:w="76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Citation style per the references section of the checklist, footnote and endnote sequence, superscript placement, marker-to-reference-list integrity.</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Terminology</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Disease, drug, ingredient, and clinical terminology against the loaded brand's Approved Terms file. Includes brand name capitalisation and registered or trademark symbol usage.</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How it works</w:t>
      </w:r>
    </w:p>
    <w:p>
      <w:pPr>
        <w:pStyle w:val="Heading2"/>
        <w:spacing w:after="120" w:before="320"/>
      </w:pPr>
      <w:r>
        <w:rPr>
          <w:rFonts w:ascii="Playfair Display" w:cs="Playfair Display" w:eastAsia="Playfair Display" w:hAnsi="Playfair Display"/>
          <w:b/>
          <w:bCs/>
          <w:color w:val="0c9d7c"/>
          <w:sz w:val="28"/>
          <w:szCs w:val="28"/>
        </w:rPr>
        <w:t xml:space="preserve">Reference loading</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All reference material for this skill lives in the shared Skill references/ folder of the skills S3 bucket. The skill bundle itself contains only the SKILL.md. Nothing is bundled inside the .skill zip and nothing is read from the brand-scoped knowledge base for reference content. Files loaded via get_skill_reference: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Ward6 Rules Checklist.md : the canonical rules checklist, the single source of truth for which rules the skill walks the document against. Loaded every run.</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Veltassa Approved Terms.md : loaded only when the detected brand is Veltassa.</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Maviret Approved Terms.md : loaded only when the detected brand is Maviret.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Ward 6 house style and references style .docx files are NOT loaded at runtime. They are source documents that human authors use to maintain the canonical checklist. The skill consumes the checklist directly. A rule that appears in the source documents but not in the checklist is not enforced, by design. Adding new rules requires updating the checklist file.</w:t>
      </w:r>
    </w:p>
    <w:p>
      <w:pPr>
        <w:pStyle w:val="Heading2"/>
        <w:spacing w:after="120" w:before="320"/>
      </w:pPr>
      <w:r>
        <w:rPr>
          <w:rFonts w:ascii="Playfair Display" w:cs="Playfair Display" w:eastAsia="Playfair Display" w:hAnsi="Playfair Display"/>
          <w:b/>
          <w:bCs/>
          <w:color w:val="0c9d7c"/>
          <w:sz w:val="28"/>
          <w:szCs w:val="28"/>
        </w:rPr>
        <w:t xml:space="preserve">The static rules checklist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Ward 6 Rules Checklist is a markdown file containing every adopted rule the skill enforces. Each row carries four fields: rule_id (a stable identifier such as HS-SP-001), category (one of the five), statement (a short version of the rule, under 20 words), and source (the source document section the rule comes from).</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Stable rule_ids are critical: historical reports cite specific IDs, and the cited-rule line on every item names the ID it was tied to. When the team updates a rule, the practice is to update the statement in place (keeping the ID) or deprecate the old row and add a new one with a new ID.</w:t>
      </w:r>
    </w:p>
    <w:p>
      <w:pPr>
        <w:pStyle w:val="Heading2"/>
        <w:spacing w:after="120" w:before="320"/>
      </w:pPr>
      <w:r>
        <w:rPr>
          <w:rFonts w:ascii="Playfair Display" w:cs="Playfair Display" w:eastAsia="Playfair Display" w:hAnsi="Playfair Display"/>
          <w:b/>
          <w:bCs/>
          <w:color w:val="0c9d7c"/>
          <w:sz w:val="28"/>
          <w:szCs w:val="28"/>
        </w:rPr>
        <w:t xml:space="preserve">Two-pronged brand detection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Before walking the document, the skill identifies which brand it is checking. The brand determines which Approved Terms file is loaded.</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Step 1, auto-detect from the brand-scoped knowledge base. The skill scans visible filenames in the brand's KB for substrings matching the supported brand list (Veltassa and Maviret). If exactly one brand matches, that is the detected brand, and the user is asked to confirm.</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Step 2, fall back to asking the user. If detection finds zero matches, multiple matches, or the user rejects the detected brand, the skill asks which brand the proof check is for (Veltassa and Maviret).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Step 3, load the matching Approved Terms file from Skill references/ via get_skill_reference. The detected brand and the dictionary filename are recorded for the output header. The brand-scoped knowledge base is used only as a detection signal.</w:t>
      </w:r>
    </w:p>
    <w:p>
      <w:pPr>
        <w:pStyle w:val="Heading2"/>
        <w:spacing w:after="120" w:before="320"/>
      </w:pPr>
      <w:r>
        <w:rPr>
          <w:rFonts w:ascii="Playfair Display" w:cs="Playfair Display" w:eastAsia="Playfair Display" w:hAnsi="Playfair Display"/>
          <w:b/>
          <w:bCs/>
          <w:color w:val="0c9d7c"/>
          <w:sz w:val="28"/>
          <w:szCs w:val="28"/>
        </w:rPr>
        <w:t xml:space="preserve">The step-by-step process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Read the PDF page by page using a deterministic text-extraction library. Detect scanned PDFs (no extractable text) and ask the user to OCR before continuing.</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Load the canonical Ward 6 Rules Checklist from Skill references/.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Run two-pronged brand detection. Load the matching Approved Terms file.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Walk the document against the rules checklist. For each rule, record exactly one outcome overall: Violated, Not violated, or Not applicable. Every rule must be tested; skipping a rule is not allowed.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Run the dedicated reference integrity pass. Flag orphaned markers, missing reference list entries, out-of-sequence numbered references, and footnote symbol-order violations.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Emit one item per instance, each carrying its rule_id. Do not consolidate in-prompt: the Lambda merges items sharing a key.</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Separate Low-confidence items into judgment_notes. Build the audit rows, one per rule walked.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Make a single render_findings_report tool call with the structured payload (items, judgment_notes, audit, meta, report_title, disclaimer, filename). The Lambda numbers, highlights, badges, consolidates, totals, and returns the .docx.</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Present the chat summary line with the total and category breakdown.</w:t>
      </w:r>
    </w:p>
    <w:p>
      <w:pPr>
        <w:pStyle w:val="Heading2"/>
        <w:spacing w:after="120" w:before="320"/>
      </w:pPr>
      <w:r>
        <w:rPr>
          <w:rFonts w:ascii="Playfair Display" w:cs="Playfair Display" w:eastAsia="Playfair Display" w:hAnsi="Playfair Display"/>
          <w:b/>
          <w:bCs/>
          <w:color w:val="0c9d7c"/>
          <w:sz w:val="28"/>
          <w:szCs w:val="28"/>
        </w:rPr>
        <w:t xml:space="preserve">Reference integrity pass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integrity pass is a discrete step, separated from the per-page walk, because folding it into the page walk is the most common way to miss orphaned markers and missing references. The pass builds two sets and diffs them: every distinct footnote marker, superscript, and inline citation in body copy (with its page), and every entry in the document's reference list (with its page).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Diffing the two sets surfaces any marker in body without a matching reference list entry (High confidence) and any reference entry not cited anywhere (also High). A sequence check confirms numbered markers appear in ascending order with no gaps. A symbol-order check confirms symbolic markers follow the documented order (asterisk first). If body copy contains citation markers but no reference list section exists, the skill adds a single document-level entry at Medium confidence.</w:t>
      </w:r>
    </w:p>
    <w:p>
      <w:pPr>
        <w:pStyle w:val="Heading2"/>
        <w:spacing w:after="120" w:before="320"/>
      </w:pPr>
      <w:r>
        <w:rPr>
          <w:rFonts w:ascii="Playfair Display" w:cs="Playfair Display" w:eastAsia="Playfair Display" w:hAnsi="Playfair Display"/>
          <w:b/>
          <w:bCs/>
          <w:color w:val="0c9d7c"/>
          <w:sz w:val="28"/>
          <w:szCs w:val="28"/>
        </w:rPr>
        <w:t xml:space="preserve">Cross-document consistency: two patterns, merged server-side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Consolidation is now automatic and server-side; the skill emits one item per instance and the Lambda merges items sharing a rule_id.</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Pattern A, variant drift. The same term, brand, abbreviation, footnote symbol, unit, or punctuation form is rendered differently across the document, even when each individual instance is technically acceptable. Each variant is emitted with the shared key and merges into one entry.</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Pattern B, recurring same-rule violation. The same documented rule is broken the same way more than once. Instances carry the shared rule_id and merge into one entry. Each consolidated entry counts as exactly one item toward its category total.</w:t>
      </w:r>
    </w:p>
    <w:p>
      <w:pPr>
        <w:pStyle w:val="Heading2"/>
        <w:spacing w:after="120" w:before="320"/>
      </w:pPr>
      <w:r>
        <w:rPr>
          <w:rFonts w:ascii="Playfair Display" w:cs="Playfair Display" w:eastAsia="Playfair Display" w:hAnsi="Playfair Display"/>
          <w:b/>
          <w:bCs/>
          <w:color w:val="0c9d7c"/>
          <w:sz w:val="28"/>
          <w:szCs w:val="28"/>
        </w:rPr>
        <w:t xml:space="preserve">Confidence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c>
          <w:tcPr>
            <w:tcW w:type="dxa" w:w="17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Confidence</w:t>
            </w:r>
          </w:p>
        </w:tc>
        <w:tc>
          <w:tcPr>
            <w:tcW w:type="dxa" w:w="76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Meaning</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High</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Objective error. The document contradicts a documented rule on the checklist or fails an integrity test.</w:t>
            </w:r>
          </w:p>
        </w:tc>
      </w:tr>
      <w:tr>
        <w:tc>
          <w:tcPr>
            <w:tcW w:type="dxa" w:w="17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Medium</w:t>
            </w:r>
          </w:p>
        </w:tc>
        <w:tc>
          <w:tcPr>
            <w:tcW w:type="dxa" w:w="76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Likely issue. The pattern usually indicates an error but depends on context the skill cannot see, such as a term that might be a proper noun or a missing registered symbol that might be a vector-text extraction artefact.</w:t>
            </w:r>
          </w:p>
        </w:tc>
      </w:tr>
      <w:tr>
        <w:tc>
          <w:tcPr>
            <w:tcW w:type="dxa" w:w="17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Low</w:t>
            </w:r>
          </w:p>
        </w:tc>
        <w:tc>
          <w:tcPr>
            <w:tcW w:type="dxa" w:w="76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Judgement call. The house style is silent or ambiguous, or the issue depends on editorial preference. These items move to the Judgment notes section and are not counted in the main category totals.</w:t>
            </w:r>
          </w:p>
        </w:tc>
      </w:tr>
    </w:tbl>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Outputs</w:t>
      </w:r>
    </w:p>
    <w:p>
      <w:pPr>
        <w:pStyle w:val="Heading2"/>
        <w:spacing w:after="120" w:before="320"/>
      </w:pPr>
      <w:r>
        <w:rPr>
          <w:rFonts w:ascii="Playfair Display" w:cs="Playfair Display" w:eastAsia="Playfair Display" w:hAnsi="Playfair Display"/>
          <w:b/>
          <w:bCs/>
          <w:color w:val="0c9d7c"/>
          <w:sz w:val="28"/>
          <w:szCs w:val="28"/>
        </w:rPr>
        <w:t xml:space="preserve">Chat summary line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Before the Word document link, the skill posts a one-line summary of the total items found, broken down by category. Categories with zero items are included so the writer sees the full picture.</w:t>
      </w: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Example:  </w:t>
            </w:r>
            <w:r>
              <w:rPr>
                <w:rFonts w:ascii="Plus Jakarta Sans" w:cs="Plus Jakarta Sans" w:eastAsia="Plus Jakarta Sans" w:hAnsi="Plus Jakarta Sans"/>
                <w:i/>
                <w:iCs/>
                <w:color w:val="1A5C4A"/>
                <w:sz w:val="19"/>
                <w:szCs w:val="19"/>
              </w:rPr>
              <w:t xml:space="preserve">Found 23 items: 12 spelling, 6 punctuation, 3 style, 2 references, 0 terminology.</w:t>
            </w:r>
          </w:p>
        </w:tc>
      </w:tr>
    </w:tbl>
    <w:p>
      <w:pPr>
        <w:pStyle w:val="Heading2"/>
        <w:spacing w:after="120" w:before="320"/>
      </w:pPr>
      <w:r>
        <w:rPr>
          <w:rFonts w:ascii="Playfair Display" w:cs="Playfair Display" w:eastAsia="Playfair Display" w:hAnsi="Playfair Display"/>
          <w:b/>
          <w:bCs/>
          <w:color w:val="0c9d7c"/>
          <w:sz w:val="28"/>
          <w:szCs w:val="28"/>
        </w:rPr>
        <w:t xml:space="preserve">Word document layout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deliverable is a single Word document, named &lt;source-name&gt;_proof-check.docx, rendered by render_findings_report from the structured findings. The Lambda owns the layout: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Header block (the :::meta box) with the source filename, page count, house style name, detected brand, and dictionary filename. The generated date is stamped server-side.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Totals line with the per-category breakdown, counting only High and Medium items, plus a separate line counting any judgment notes.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Items in document order, each consolidated by rule_id. Each item shows a number, page, category, a shaded confidence badge, a blockquoted context snippet with the flagged span highlighted in yellow, the issue, and an italic cited-rule line.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Judgment notes section for Low-confidence items, numbered [J1], [J2], omitted entirely if there are none.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Audit table titled 'Audit — rules checklist iteration', listing every rule on the checklist with its outcome (Violated, Not violated, or Not applicable) and the pages where violations occur.</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Footer disclaimer specific to the proof-check skill.</w:t>
      </w:r>
    </w:p>
    <w:p>
      <w:pPr>
        <w:pStyle w:val="Heading2"/>
        <w:spacing w:after="120" w:before="320"/>
      </w:pPr>
      <w:r>
        <w:rPr>
          <w:rFonts w:ascii="Playfair Display" w:cs="Playfair Display" w:eastAsia="Playfair Display" w:hAnsi="Playfair Display"/>
          <w:b/>
          <w:bCs/>
          <w:color w:val="0c9d7c"/>
          <w:sz w:val="28"/>
          <w:szCs w:val="28"/>
        </w:rPr>
        <w:t xml:space="preserve">Audit table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audit table appears near the end of every output document and lists every rule on the checklist alongside its outcome. It is the visible evidence that the rules checklist was iterated in full. Items in the main Items section must correspond to Violated rows, and Violated rows must produce at least one item. The two parts of the report cross-check each other. A short or incomplete table is a signal that something went wrong; a complete one is grounds for confidence in the report.</w:t>
      </w:r>
    </w:p>
    <w:p>
      <w:pPr>
        <w:pStyle w:val="Heading2"/>
        <w:spacing w:after="120" w:before="320"/>
      </w:pPr>
      <w:r>
        <w:rPr>
          <w:rFonts w:ascii="Playfair Display" w:cs="Playfair Display" w:eastAsia="Playfair Display" w:hAnsi="Playfair Display"/>
          <w:b/>
          <w:bCs/>
          <w:color w:val="0c9d7c"/>
          <w:sz w:val="28"/>
          <w:szCs w:val="28"/>
        </w:rPr>
        <w:t xml:space="preserve">Judgment notes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Judgment notes are Low-confidence observations where the house style is silent or the situation is genuinely ambiguous. They are surfaced because the writer may still want to make a deliberate call, but they are not flagged as violations and do not count in the headline totals. Each opens with 'House style is silent on...' or 'Rule is ambiguous on...', which is the test for whether something belongs here rather than in the main Items section.</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Edge cases and limitations</w:t>
      </w:r>
    </w:p>
    <w:p>
      <w:pPr>
        <w:pStyle w:val="Heading2"/>
        <w:spacing w:after="120" w:before="320"/>
      </w:pPr>
      <w:r>
        <w:rPr>
          <w:rFonts w:ascii="Playfair Display" w:cs="Playfair Display" w:eastAsia="Playfair Display" w:hAnsi="Playfair Display"/>
          <w:b/>
          <w:bCs/>
          <w:color w:val="0c9d7c"/>
          <w:sz w:val="28"/>
          <w:szCs w:val="28"/>
        </w:rPr>
        <w:t xml:space="preserve">Headline-count stability</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In the earlier markdown approach, the headline count could vary noticeably between runs of the same document because repeated violations were consolidated in-prompt and that step did not collapse identically each run. The current version moves consolidation into the Lambda, where it is deterministic: the same defect always collapses to one entry, so repeated-issue counts are now stable. Some residual variation can still occur on genuinely borderline judgment calls (for example whether a single compound-adjective hyphenation is flagged), because the underlying model may decide a borderline case differently between runs. The guidance remains to read the report as a structured second read: every flag is anchored to a documented rule named in its cited-rule line and confirmed in the audit table, and for a high-stakes piece, running the check two or three times and combining the flags gives broader coverage.</w:t>
      </w:r>
    </w:p>
    <w:p>
      <w:pPr>
        <w:pStyle w:val="Heading2"/>
        <w:spacing w:after="120" w:before="320"/>
      </w:pPr>
      <w:r>
        <w:rPr>
          <w:rFonts w:ascii="Playfair Display" w:cs="Playfair Display" w:eastAsia="Playfair Display" w:hAnsi="Playfair Display"/>
          <w:b/>
          <w:bCs/>
          <w:color w:val="0c9d7c"/>
          <w:sz w:val="28"/>
          <w:szCs w:val="28"/>
        </w:rPr>
        <w:t xml:space="preserve">Scanned PDFs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If the total extractable text across the PDF is under approximately 200 characters but the document has more than one page, the skill treats it as scanned and stops. The user is asked to OCR the PDF first.</w:t>
      </w:r>
    </w:p>
    <w:p>
      <w:pPr>
        <w:pStyle w:val="Heading2"/>
        <w:spacing w:after="120" w:before="320"/>
      </w:pPr>
      <w:r>
        <w:rPr>
          <w:rFonts w:ascii="Playfair Display" w:cs="Playfair Display" w:eastAsia="Playfair Display" w:hAnsi="Playfair Display"/>
          <w:b/>
          <w:bCs/>
          <w:color w:val="0c9d7c"/>
          <w:sz w:val="28"/>
          <w:szCs w:val="28"/>
        </w:rPr>
        <w:t xml:space="preserve">Vector text in graphs and infographics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Design PDFs often contain text inside graphs, infographic art, image-only callouts, and brand wordmarks rendered as vector outlines. This text is typically not extractable. The skill notes this limitation and does not attempt to flag content it cannot read.</w:t>
      </w:r>
    </w:p>
    <w:p>
      <w:pPr>
        <w:pStyle w:val="Heading2"/>
        <w:spacing w:after="120" w:before="320"/>
      </w:pPr>
      <w:r>
        <w:rPr>
          <w:rFonts w:ascii="Playfair Display" w:cs="Playfair Display" w:eastAsia="Playfair Display" w:hAnsi="Playfair Display"/>
          <w:b/>
          <w:bCs/>
          <w:color w:val="0c9d7c"/>
          <w:sz w:val="28"/>
          <w:szCs w:val="28"/>
        </w:rPr>
        <w:t xml:space="preserve">Documents without reliable page numbers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Some sources carry no usable page numbers — compressed or interactive PDFs, e-detailers, and IVAs (interactive visual aids) often have no embedded pagination, or the runtime's physical page numbers don't match the piece's own pages. When a page number would not help the writer find an issue, Proof Check switches to a section-based locator rather than emitting a misleading page number.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It locates each finding by, most-identifying first: the main section from the piece's navigation or menu; the nearest preceding heading; then any other cue (panel, callout, sidebar, CTA, slide label, or paragraph index). These render in place of the page reference — for example “Efficacy (‘Proven OS benefit’ heading, ¶2)” — and the report header notes that page numbers were not available. The skill uses one mode per run: page numbers when they are reliable, section locators when they are not.</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When the location fallback is active, the opening summary carries a fixed sentence — verbatim, no paraphrasing — stating that the document has no reliable page numbers and that locations are given as section then nearest heading. Findings and the rules-checklist audit both use the same section-based locators throughout the run.</w:t>
      </w:r>
    </w:p>
    <w:p>
      <w:pPr>
        <w:pStyle w:val="Heading2"/>
        <w:spacing w:after="120" w:before="320"/>
      </w:pPr>
      <w:r>
        <w:rPr>
          <w:rFonts w:ascii="Playfair Display" w:cs="Playfair Display" w:eastAsia="Playfair Display" w:hAnsi="Playfair Display"/>
          <w:b/>
          <w:bCs/>
          <w:color w:val="0c9d7c"/>
          <w:sz w:val="28"/>
          <w:szCs w:val="28"/>
        </w:rPr>
        <w:t xml:space="preserve">Missing registered or trademark symbol on first mention</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Trademark and registered symbols typeset inside vector text in a design PDF often fail to extract to plain text. A missing symbol in extracted text may be a real omission or a benign extraction artefact, so the skill flags these at Medium confidence with a note asking the writer to verify against the source artwork.</w:t>
      </w:r>
    </w:p>
    <w:p>
      <w:pPr>
        <w:pStyle w:val="Heading2"/>
        <w:spacing w:after="120" w:before="320"/>
      </w:pPr>
      <w:r>
        <w:rPr>
          <w:rFonts w:ascii="Playfair Display" w:cs="Playfair Display" w:eastAsia="Playfair Display" w:hAnsi="Playfair Display"/>
          <w:b/>
          <w:bCs/>
          <w:color w:val="0c9d7c"/>
          <w:sz w:val="28"/>
          <w:szCs w:val="28"/>
        </w:rPr>
        <w:t xml:space="preserve">Tables and images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Where a table flag would otherwise apply, the skill expresses the content as a bulleted list inside the item. Images in the source PDF are not extracted; vector text inside images is noted as a limitation.</w:t>
      </w:r>
    </w:p>
    <w:p>
      <w:pPr>
        <w:pStyle w:val="Heading2"/>
        <w:spacing w:after="120" w:before="320"/>
      </w:pPr>
      <w:r>
        <w:rPr>
          <w:rFonts w:ascii="Playfair Display" w:cs="Playfair Display" w:eastAsia="Playfair Display" w:hAnsi="Playfair Display"/>
          <w:b/>
          <w:bCs/>
          <w:color w:val="0c9d7c"/>
          <w:sz w:val="28"/>
          <w:szCs w:val="28"/>
        </w:rPr>
        <w:t xml:space="preserve">PROPOSED rules in the source documents</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Ward 6 House Style document contains sections marked [PROPOSED] that are draft additions not yet adopted by the team. These are deliberately excluded from the Rules Checklist. If the team adopts a proposed section, the checklist is updated to include the new rules with stable IDs.</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Technical architecture</w:t>
      </w:r>
    </w:p>
    <w:p>
      <w:pPr>
        <w:pStyle w:val="Heading2"/>
        <w:spacing w:after="120" w:before="320"/>
      </w:pPr>
      <w:r>
        <w:rPr>
          <w:rFonts w:ascii="Playfair Display" w:cs="Playfair Display" w:eastAsia="Playfair Display" w:hAnsi="Playfair Display"/>
          <w:b/>
          <w:bCs/>
          <w:color w:val="0c9d7c"/>
          <w:sz w:val="28"/>
          <w:szCs w:val="28"/>
        </w:rPr>
        <w:t xml:space="preserve">The skill bundle</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The packaged ward6-proof-check-lambda .skill contains exactly one file: SKILL.md. No bundled scripts, no bundled references, no helper assets.</w:t>
      </w:r>
    </w:p>
    <w:p>
      <w:pPr>
        <w:pStyle w:val="Heading2"/>
        <w:spacing w:after="120" w:before="320"/>
      </w:pPr>
      <w:r>
        <w:rPr>
          <w:rFonts w:ascii="Playfair Display" w:cs="Playfair Display" w:eastAsia="Playfair Display" w:hAnsi="Playfair Display"/>
          <w:b/>
          <w:bCs/>
          <w:color w:val="0c9d7c"/>
          <w:sz w:val="28"/>
          <w:szCs w:val="28"/>
        </w:rPr>
        <w:t xml:space="preserve">Skill references/ folder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Reference content lives in the shared Skill references/ folder in the skills S3 bucket, updated centrally without re-bundling skills. Filenames the skill reads: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Filename</w:t>
            </w:r>
          </w:p>
        </w:tc>
        <w:tc>
          <w:tcPr>
            <w:tcW w:type="dxa" w:w="6360"/>
            <w:tcBorders>
              <w:top w:val="single" w:color="D8D8D8" w:sz="1"/>
              <w:left w:val="single" w:color="D8D8D8" w:sz="1"/>
              <w:bottom w:val="single" w:color="D8D8D8" w:sz="1"/>
              <w:right w:val="single" w:color="D8D8D8" w:sz="1"/>
            </w:tcBorders>
            <w:shd w:fill="0d0d0d" w:val="clear"/>
            <w:tcMar>
              <w:top w:type="dxa" w:w="100"/>
              <w:left w:type="dxa" w:w="160"/>
              <w:bottom w:type="dxa" w:w="100"/>
              <w:right w:type="dxa" w:w="160"/>
            </w:tcMar>
            <w:vAlign w:val="center"/>
          </w:tcPr>
          <w:p>
            <w:pPr>
              <w:jc w:val="left"/>
            </w:pPr>
            <w:r>
              <w:rPr>
                <w:rFonts w:ascii="Plus Jakarta Sans" w:cs="Plus Jakarta Sans" w:eastAsia="Plus Jakarta Sans" w:hAnsi="Plus Jakarta Sans"/>
                <w:b/>
                <w:bCs/>
                <w:color w:val="FFFFFF"/>
                <w:sz w:val="18"/>
                <w:szCs w:val="18"/>
              </w:rPr>
              <w:t xml:space="preserve">When loaded</w:t>
            </w:r>
          </w:p>
        </w:tc>
      </w:tr>
      <w:tr>
        <w:tc>
          <w:tcPr>
            <w:tcW w:type="dxa" w:w="30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Ward6 Rules Checklist.md</w:t>
            </w:r>
          </w:p>
        </w:tc>
        <w:tc>
          <w:tcPr>
            <w:tcW w:type="dxa" w:w="63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Every run. Required. The single source of truth for the rules walked.</w:t>
            </w:r>
          </w:p>
        </w:tc>
      </w:tr>
      <w:tr>
        <w:tc>
          <w:tcPr>
            <w:tcW w:type="dxa" w:w="300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Veltassa Approved Terms.md</w:t>
            </w:r>
          </w:p>
        </w:tc>
        <w:tc>
          <w:tcPr>
            <w:tcW w:type="dxa" w:w="6360"/>
            <w:tcBorders>
              <w:top w:val="single" w:color="D8D8D8" w:sz="1"/>
              <w:left w:val="single" w:color="D8D8D8" w:sz="1"/>
              <w:bottom w:val="single" w:color="D8D8D8" w:sz="1"/>
              <w:right w:val="single" w:color="D8D8D8" w:sz="1"/>
            </w:tcBorders>
            <w:shd w:fill="FFFFFF"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When the detected brand is Veltassa.</w:t>
            </w:r>
          </w:p>
        </w:tc>
      </w:tr>
      <w:tr>
        <w:tc>
          <w:tcPr>
            <w:tcW w:type="dxa" w:w="300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Maviret Approved Terms.md</w:t>
            </w:r>
          </w:p>
        </w:tc>
        <w:tc>
          <w:tcPr>
            <w:tcW w:type="dxa" w:w="6360"/>
            <w:tcBorders>
              <w:top w:val="single" w:color="D8D8D8" w:sz="1"/>
              <w:left w:val="single" w:color="D8D8D8" w:sz="1"/>
              <w:bottom w:val="single" w:color="D8D8D8" w:sz="1"/>
              <w:right w:val="single" w:color="D8D8D8" w:sz="1"/>
            </w:tcBorders>
            <w:shd w:fill="f7f7f7" w:val="clear"/>
            <w:tcMar>
              <w:top w:type="dxa" w:w="90"/>
              <w:left w:type="dxa" w:w="160"/>
              <w:bottom w:type="dxa" w:w="90"/>
              <w:right w:type="dxa" w:w="160"/>
            </w:tcMar>
            <w:vAlign w:val="center"/>
          </w:tcPr>
          <w:p>
            <w:pPr>
              <w:jc w:val="left"/>
            </w:pPr>
            <w:r>
              <w:rPr>
                <w:rFonts w:ascii="Plus Jakarta Sans" w:cs="Plus Jakarta Sans" w:eastAsia="Plus Jakarta Sans" w:hAnsi="Plus Jakarta Sans"/>
                <w:b w:val="false"/>
                <w:bCs w:val="false"/>
                <w:color w:val="444444"/>
                <w:sz w:val="18"/>
                <w:szCs w:val="18"/>
              </w:rPr>
              <w:t xml:space="preserve">When the detected brand is Maviret.</w:t>
            </w:r>
          </w:p>
        </w:tc>
      </w:tr>
    </w:tbl>
    <w:p>
      <w:pPr>
        <w:pStyle w:val="Heading2"/>
        <w:spacing w:after="120" w:before="320"/>
      </w:pPr>
      <w:r>
        <w:rPr>
          <w:rFonts w:ascii="Playfair Display" w:cs="Playfair Display" w:eastAsia="Playfair Display" w:hAnsi="Playfair Display"/>
          <w:b/>
          <w:bCs/>
          <w:color w:val="0c9d7c"/>
          <w:sz w:val="28"/>
          <w:szCs w:val="28"/>
        </w:rPr>
        <w:t xml:space="preserve">The render_findings_report tool</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Output is rendered by render_findings_report, a Lambda tool that accepts only structured fields (items, judgment_notes, audit, meta, note, report_title, disclaimer, filename) and has no free-text content field. With no free-text field, the skill must supply structured data, which is what guarantees the deterministic consolidation, the confidence badges, and the yellow highlighting. The skill assembles a single payload and makes one tool call; the Lambda groups items by rule_id, numbers them, highlights the flagged spans, draws the badges and the audit table, computes the totals, and returns the .docx. A complementary runtime restriction that scopes the report skills to this tool is the hard guarantee that the free-text path cannot be reached.</w:t>
      </w:r>
    </w:p>
    <w:p>
      <w:pPr>
        <w:pStyle w:val="Heading2"/>
        <w:spacing w:after="120" w:before="320"/>
      </w:pPr>
      <w:r>
        <w:rPr>
          <w:rFonts w:ascii="Playfair Display" w:cs="Playfair Display" w:eastAsia="Playfair Display" w:hAnsi="Playfair Display"/>
          <w:b/>
          <w:bCs/>
          <w:color w:val="0c9d7c"/>
          <w:sz w:val="28"/>
          <w:szCs w:val="28"/>
        </w:rPr>
        <w:t xml:space="preserve">Output disclaimer</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Every output Word document carries a footer disclaimer, stamped by the skill via the disclaimer field, noting that the report was generated by an AI proof-check skill and that all flagged items must be reviewed and verified against the source artwork before being treated as actionable corrections.</w:t>
      </w:r>
    </w:p>
    <w:p>
      <w:pPr>
        <w:pStyle w:val="Heading2"/>
        <w:spacing w:after="120" w:before="320"/>
      </w:pPr>
      <w:r>
        <w:rPr>
          <w:rFonts w:ascii="Playfair Display" w:cs="Playfair Display" w:eastAsia="Playfair Display" w:hAnsi="Playfair Display"/>
          <w:b/>
          <w:bCs/>
          <w:color w:val="0c9d7c"/>
          <w:sz w:val="28"/>
          <w:szCs w:val="28"/>
        </w:rPr>
        <w:t xml:space="preserve">Versioning</w:t>
      </w:r>
    </w:p>
    <w:p>
      <w:pPr>
        <w:spacing w:after="70" w:before="70"/>
      </w:pPr>
      <w:r>
        <w:rPr>
          <w:rFonts w:ascii="Plus Jakarta Sans" w:cs="Plus Jakarta Sans" w:eastAsia="Plus Jakarta Sans" w:hAnsi="Plus Jakarta Sans"/>
          <w:b w:val="false"/>
          <w:bCs w:val="false"/>
          <w:i w:val="false"/>
          <w:iCs w:val="false"/>
          <w:color w:val="444444"/>
          <w:sz w:val="20"/>
          <w:szCs w:val="20"/>
        </w:rPr>
        <w:t xml:space="preserve">This is version 10.0 (May 2026): the structured render_findings_report path with deterministic consolidation, real highlighting, confidence badges, and an own-skill footer disclaimer, built on the static rules checklist. The earlier markdown approach used the export_docx path with bolded spans and in-prompt consolidation.</w:t>
      </w: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Ward 6 Proof Check is one of five skills in the Ward 6 AI pilot. The Reference and Claim Checker maps claims to an approved library. The Document Element Extractor handles content extraction. Each skill is review-only or extraction-only; none rewrite the source draft.</w:t>
            </w:r>
          </w:p>
        </w:tc>
      </w:tr>
    </w:tbl>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2026-05-29T01:43:28.268Z</dcterms:created>
  <dcterms:modified xsi:type="dcterms:W3CDTF">2026-05-29T01:43:28.268Z</dcterms:modified>
</cp:coreProperties>
</file>

<file path=docProps/custom.xml><?xml version="1.0" encoding="utf-8"?>
<Properties xmlns="http://schemas.openxmlformats.org/officeDocument/2006/custom-properties" xmlns:vt="http://schemas.openxmlformats.org/officeDocument/2006/docPropsVTypes"/>
</file>