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2240"/>
        <w:tblBorders>
          <w:top w:val="single" w:color="auto" w:sz="4"/>
          <w:left w:val="single" w:color="auto" w:sz="4"/>
          <w:bottom w:val="single" w:color="auto" w:sz="4"/>
          <w:right w:val="single" w:color="auto" w:sz="4"/>
          <w:insideH w:val="single" w:color="auto" w:sz="4"/>
          <w:insideV w:val="single" w:color="auto" w:sz="4"/>
        </w:tblBorders>
      </w:tblPr>
      <w:tblGrid>
        <w:gridCol w:w="12240"/>
      </w:tblGrid>
      <w:tr>
        <w:tc>
          <w:tcPr>
            <w:tcW w:type="dxa" w:w="12240"/>
            <w:tcBorders>
              <w:top w:val="none" w:color="FFFFFF" w:sz="0"/>
              <w:left w:val="none" w:color="FFFFFF" w:sz="0"/>
              <w:bottom w:val="none" w:color="FFFFFF" w:sz="0"/>
              <w:right w:val="none" w:color="FFFFFF" w:sz="0"/>
            </w:tcBorders>
            <w:shd w:fill="0d0d0d" w:val="clear"/>
            <w:tcMar>
              <w:top w:type="dxa" w:w="1000"/>
              <w:left w:type="dxa" w:w="1000"/>
              <w:bottom w:type="dxa" w:w="1000"/>
              <w:right w:type="dxa" w:w="1000"/>
            </w:tcMar>
            <w:vAlign w:val="top"/>
          </w:tcPr>
          <w:p>
            <w:pPr>
              <w:spacing w:after="0" w:before="0"/>
              <w:jc w:val="left"/>
            </w:pPr>
            <w:r>
              <w:drawing>
                <wp:inline distT="0" distB="0" distL="0" distR="0">
                  <wp:extent cx="1714500" cy="2952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714500" cy="295275"/>
                          </a:xfrm>
                          <a:prstGeom prst="rect">
                            <a:avLst/>
                          </a:prstGeom>
                        </pic:spPr>
                      </pic:pic>
                    </a:graphicData>
                  </a:graphic>
                </wp:inline>
              </w:drawing>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100" w:before="0"/>
              <w:jc w:val="left"/>
            </w:pPr>
            <w:r>
              <w:rPr>
                <w:rFonts w:ascii="Playfair Display" w:cs="Playfair Display" w:eastAsia="Playfair Display" w:hAnsi="Playfair Display"/>
                <w:b/>
                <w:bCs/>
                <w:i w:val="false"/>
                <w:iCs w:val="false"/>
                <w:color w:val="FFFFFF"/>
                <w:sz w:val="48"/>
                <w:szCs w:val="48"/>
              </w:rPr>
              <w:t xml:space="preserve">Ward6AI Platform</w:t>
            </w:r>
          </w:p>
          <w:p>
            <w:pPr>
              <w:spacing w:after="80" w:before="0"/>
              <w:jc w:val="left"/>
            </w:pPr>
            <w:r>
              <w:rPr>
                <w:rFonts w:ascii="Playfair Display" w:cs="Playfair Display" w:eastAsia="Playfair Display" w:hAnsi="Playfair Display"/>
                <w:b w:val="false"/>
                <w:bCs w:val="false"/>
                <w:i w:val="false"/>
                <w:iCs w:val="false"/>
                <w:color w:val="50e3c2"/>
                <w:sz w:val="36"/>
                <w:szCs w:val="36"/>
              </w:rPr>
              <w:t xml:space="preserve">Email Drafter</w:t>
            </w:r>
          </w:p>
          <w:p>
            <w:pPr>
              <w:pBdr>
                <w:bottom w:val="single" w:color="0c9d7c" w:sz="3" w:space="6"/>
              </w:pBdr>
              <w:spacing w:after="160" w:before="0"/>
            </w:pPr>
            <w:r>
              <w:rPr>
                <w:rFonts w:ascii="Plus Jakarta Sans" w:cs="Plus Jakarta Sans" w:eastAsia="Plus Jakarta Sans" w:hAnsi="Plus Jakarta Sans"/>
                <w:i/>
                <w:iCs/>
                <w:color w:val="888888"/>
                <w:sz w:val="19"/>
                <w:szCs w:val="19"/>
              </w:rPr>
              <w:t xml:space="preserve">Skill documentation</w:t>
            </w:r>
          </w:p>
          <w:p>
            <w:pPr>
              <w:spacing w:after="80" w:before="0"/>
            </w:pPr>
            <w:r>
              <w:rPr>
                <w:color w:val="0d0d0d"/>
                <w:sz w:val="20"/>
                <w:szCs w:val="20"/>
              </w:rPr>
              <w:t xml:space="preserve"> </w:t>
            </w:r>
          </w:p>
          <w:p>
            <w:pPr>
              <w:spacing w:after="80" w:before="0"/>
              <w:jc w:val="left"/>
            </w:pPr>
            <w:r>
              <w:rPr>
                <w:rFonts w:ascii="Plus Jakarta Sans" w:cs="Plus Jakarta Sans" w:eastAsia="Plus Jakarta Sans" w:hAnsi="Plus Jakarta Sans"/>
                <w:b w:val="false"/>
                <w:bCs w:val="false"/>
                <w:i/>
                <w:iCs/>
                <w:color w:val="888888"/>
                <w:sz w:val="17"/>
                <w:szCs w:val="17"/>
              </w:rPr>
              <w:t xml:space="preserve">Brandunity  ·  Skill 4  ·  v1  ·  May 2026</w:t>
            </w:r>
          </w:p>
        </w:tc>
      </w:tr>
    </w:tbl>
    <w:p>
      <w:pPr>
        <w:sectPr>
          <w:footerReference w:type="default" r:id="rId7"/>
          <w:type w:val="nextPage"/>
          <w:pgSz w:w="12240" w:h="15840" w:orient="portrait"/>
          <w:pgMar w:top="0" w:right="0" w:bottom="0" w:left="0" w:header="708" w:footer="708" w:gutter="0"/>
          <w:pgNumType/>
          <w:docGrid w:linePitch="360"/>
        </w:sectPr>
      </w:pP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The Email Drafter generates labelled HCP email drafts — Standard, Veeva Approved Email and eWizard — from a brand’s approved claims library and voice guide. One brand-agnostic skill serves every Ward 6 and Ward 7 brand.</w:t>
      </w:r>
    </w:p>
    <w:p>
      <w:pPr>
        <w:pStyle w:val="Heading2"/>
        <w:spacing w:after="120" w:before="320"/>
      </w:pPr>
      <w:r>
        <w:rPr>
          <w:rFonts w:ascii="Playfair Display" w:cs="Playfair Display" w:eastAsia="Playfair Display" w:hAnsi="Playfair Display"/>
          <w:b/>
          <w:bCs/>
          <w:color w:val="0c9d7c"/>
          <w:sz w:val="28"/>
          <w:szCs w:val="28"/>
        </w:rPr>
        <w:t xml:space="preserve">What it does</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Medical writers draft HCP emails in three common formats, each with its own structural rules, mandatory blocks and pre-approved footers. The Email Drafter produces an early draft from the brand’s approved claims library and voice guide, honouring the chosen template’s constraints.</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The output is labelled by element (Subject lines, Preheader, Header, Subhead, Body, CTA, Citations, Footnotes, Mandatories, Icon suggestions) so the writer can see how each piece maps to the template, and so the draft flows straight into the Word Document Formatter (Skill 5). The medical writer refines the draft before MLR.</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It drafts only. Claim accuracy checking belongs to the Reference &amp; Claim Checker; style and terminology checking belong to Proof Check.</w:t>
      </w:r>
    </w:p>
    <w:p>
      <w:pPr>
        <w:pStyle w:val="Heading2"/>
        <w:spacing w:after="120" w:before="320"/>
      </w:pPr>
      <w:r>
        <w:rPr>
          <w:rFonts w:ascii="Playfair Display" w:cs="Playfair Display" w:eastAsia="Playfair Display" w:hAnsi="Playfair Display"/>
          <w:b/>
          <w:bCs/>
          <w:color w:val="0c9d7c"/>
          <w:sz w:val="28"/>
          <w:szCs w:val="28"/>
        </w:rPr>
        <w:t xml:space="preserve">How to use it</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Trigger it with a request like “draft an email”, “draft a VAE” or “draft an eWizard email”. The skill detects the brand from your knowledge base (or asks), then prompts once for: audience segment(s), the email’s goal, any nominated images, and whether you want icon or infographic suggestions. Template is optional — it drafts in a standard format by default and only uses a specific template (VAE, eWizard, or the brand’s default) when one is supplied and requested.</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For two or more audience segments it produces one draft per segment plus a cross-version comparison table. Every claim is drawn only from the approved claims library; anything the brief implies but the library does not support is surfaced as a gap rather than written.</w:t>
      </w:r>
    </w:p>
    <w:p>
      <w:pPr>
        <w:pStyle w:val="Heading2"/>
        <w:spacing w:after="120" w:before="320"/>
      </w:pPr>
      <w:r>
        <w:rPr>
          <w:rFonts w:ascii="Playfair Display" w:cs="Playfair Display" w:eastAsia="Playfair Display" w:hAnsi="Playfair Display"/>
          <w:b/>
          <w:bCs/>
          <w:color w:val="0c9d7c"/>
          <w:sz w:val="28"/>
          <w:szCs w:val="28"/>
        </w:rPr>
        <w:t xml:space="preserve">What it loads</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All reference files load from the shared Skill references folder at run time. Four are required; three are optional with graceful fall-backs.</w:t>
      </w:r>
    </w:p>
    <w:p>
      <w:pPr>
        <w:spacing w:after="80" w:before="240"/>
      </w:pPr>
      <w:r>
        <w:rPr>
          <w:rFonts w:ascii="Plus Jakarta Sans" w:cs="Plus Jakarta Sans" w:eastAsia="Plus Jakarta Sans" w:hAnsi="Plus Jakarta Sans"/>
          <w:b/>
          <w:bCs/>
          <w:color w:val="0d0d0d"/>
          <w:sz w:val="22"/>
          <w:szCs w:val="22"/>
        </w:rPr>
        <w:t xml:space="preserve">Required</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&lt;Brand&gt; Approved Claims.docx — the sole source of claims (the library is the ceiling).</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&lt;Brand&gt; Approved Terms.md — product spellings, trademark symbols, banned and preferred terms.</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Ward 6/7 House Style.docx — capitalisation, punctuation, numerals.</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Ward 6/7 References Style.docx — citation and reference-list formatting.</w:t>
      </w:r>
    </w:p>
    <w:p>
      <w:pPr>
        <w:spacing w:after="80" w:before="240"/>
      </w:pPr>
      <w:r>
        <w:rPr>
          <w:rFonts w:ascii="Plus Jakarta Sans" w:cs="Plus Jakarta Sans" w:eastAsia="Plus Jakarta Sans" w:hAnsi="Plus Jakarta Sans"/>
          <w:b/>
          <w:bCs/>
          <w:color w:val="0d0d0d"/>
          <w:sz w:val="22"/>
          <w:szCs w:val="22"/>
        </w:rPr>
        <w:t xml:space="preserve">Optional (graceful fall-back)</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&lt;Brand&gt; Email Templates.docx — the brand’s template specs (sections, limits, mandatory blocks, footer). Optional: by default the skill drafts in a built-in standard email format; when this file is present its default template is used, and a VAE or eWizard template only when the writer asks.</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Ward 6/7 Voice &amp; Tone.docx — if absent, a conservative default HCP register is applied, anchored to the brand’s own approved language (Approved Terms, House Style, and the wording already in the Approved Claims library). The fall-back is noted in the output header.</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&lt;Brand&gt; Audiences.docx — if absent, standard HCP archetypes (GP, specialist, nurse, pharmacist) are used.</w:t>
      </w:r>
    </w:p>
    <w:p>
      <w:pPr>
        <w:pStyle w:val="Heading2"/>
        <w:spacing w:after="120" w:before="320"/>
      </w:pPr>
      <w:r>
        <w:rPr>
          <w:rFonts w:ascii="Playfair Display" w:cs="Playfair Display" w:eastAsia="Playfair Display" w:hAnsi="Playfair Display"/>
          <w:b/>
          <w:bCs/>
          <w:color w:val="0c9d7c"/>
          <w:sz w:val="28"/>
          <w:szCs w:val="28"/>
        </w:rPr>
        <w:t xml:space="preserve">Output</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A single Word document: a header with the loaded-resource labels, an optional cross-version comparison table, the per-audience drafts with every element labelled, and a gaps-and-flags section. Rendered deterministically by the render_email_draft Lambda tool.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c9d7c" w:sz="3"/>
              <w:left w:val="single" w:color="0c9d7c" w:sz="20"/>
              <w:bottom w:val="single" w:color="0c9d7c" w:sz="3"/>
              <w:right w:val="single" w:color="0c9d7c" w:sz="3"/>
            </w:tcBorders>
            <w:shd w:fill="E8F8F4" w:val="clear"/>
            <w:tcMar>
              <w:top w:type="dxa" w:w="140"/>
              <w:left w:type="dxa" w:w="220"/>
              <w:bottom w:type="dxa" w:w="140"/>
              <w:right w:type="dxa" w:w="220"/>
            </w:tcMar>
          </w:tcPr>
          <w:p>
            <w:r>
              <w:rPr>
                <w:rFonts w:ascii="Plus Jakarta Sans" w:cs="Plus Jakarta Sans" w:eastAsia="Plus Jakarta Sans" w:hAnsi="Plus Jakarta Sans"/>
                <w:b/>
                <w:bCs/>
                <w:color w:val="0c9d7c"/>
                <w:sz w:val="19"/>
                <w:szCs w:val="19"/>
              </w:rPr>
              <w:t xml:space="preserve">Status:  </w:t>
            </w:r>
            <w:r>
              <w:rPr>
                <w:rFonts w:ascii="Plus Jakarta Sans" w:cs="Plus Jakarta Sans" w:eastAsia="Plus Jakarta Sans" w:hAnsi="Plus Jakarta Sans"/>
                <w:i/>
                <w:iCs/>
                <w:color w:val="1A5C4A"/>
                <w:sz w:val="19"/>
                <w:szCs w:val="19"/>
              </w:rPr>
              <w:t xml:space="preserve">This consolidated, brand-agnostic version supersedes the earlier per-brand variants. It depends on the new render_email_draft Lambda tool, which is pending deployment and gateway registration.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565C0" w:sz="3"/>
              <w:left w:val="single" w:color="1565C0" w:sz="20"/>
              <w:bottom w:val="single" w:color="1565C0" w:sz="3"/>
              <w:right w:val="single" w:color="1565C0" w:sz="3"/>
            </w:tcBorders>
            <w:shd w:fill="EEF4FB" w:val="clear"/>
            <w:tcMar>
              <w:top w:type="dxa" w:w="140"/>
              <w:left w:type="dxa" w:w="220"/>
              <w:bottom w:type="dxa" w:w="140"/>
              <w:right w:type="dxa" w:w="220"/>
            </w:tcMar>
          </w:tcPr>
          <w:p>
            <w:r>
              <w:rPr>
                <w:rFonts w:ascii="Plus Jakarta Sans" w:cs="Plus Jakarta Sans" w:eastAsia="Plus Jakarta Sans" w:hAnsi="Plus Jakarta Sans"/>
                <w:b/>
                <w:bCs/>
                <w:color w:val="1565C0"/>
                <w:sz w:val="19"/>
                <w:szCs w:val="19"/>
              </w:rPr>
              <w:t xml:space="preserve">Worth knowing:  </w:t>
            </w:r>
            <w:r>
              <w:rPr>
                <w:rFonts w:ascii="Plus Jakarta Sans" w:cs="Plus Jakarta Sans" w:eastAsia="Plus Jakarta Sans" w:hAnsi="Plus Jakarta Sans"/>
                <w:i/>
                <w:iCs/>
                <w:color w:val="1A3A5C"/>
                <w:sz w:val="19"/>
                <w:szCs w:val="19"/>
              </w:rPr>
              <w:t xml:space="preserve">All copy must be reviewed by the medical writer and verified against the approved claims library, the voice guide and the template constraints before MLR submission. This is an early draft, not a send-ready email.</w:t>
            </w:r>
          </w:p>
        </w:tc>
      </w:tr>
    </w:tbl>
    <w:sectPr>
      <w:footerReference w:type="default" r:id="rId8"/>
      <w:pgSz w:w="12240" w:h="15840" w:orient="portrait"/>
      <w:pgMar w:top="1440" w:right="1440" w:bottom="12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8D8D8" w:sz="2" w:space="6"/>
      </w:pBd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Pr>
        <w:p>
          <w:pPr>
            <w:spacing w:after="0" w:before="0"/>
            <w:jc w:val="left"/>
          </w:pPr>
          <w:r>
            <w:rPr>
              <w:rFonts w:ascii="Plus Jakarta Sans" w:cs="Plus Jakarta Sans" w:eastAsia="Plus Jakarta Sans" w:hAnsi="Plus Jakarta Sans"/>
              <w:color w:val="888888"/>
              <w:sz w:val="16"/>
              <w:szCs w:val="16"/>
            </w:rPr>
            <w:fldChar w:fldCharType="begin"/>
            <w:instrText xml:space="preserve">PAGE</w:instrText>
            <w:fldChar w:fldCharType="separate"/>
            <w:fldChar w:fldCharType="end"/>
          </w:r>
        </w:p>
      </w:tc>
      <w:tc>
        <w:tcPr>
          <w:tcW w:type="dxa" w:w="4680"/>
          <w:tcBorders>
            <w:top w:val="none" w:color="FFFFFF" w:sz="0"/>
            <w:left w:val="none" w:color="FFFFFF" w:sz="0"/>
            <w:bottom w:val="none" w:color="FFFFFF" w:sz="0"/>
            <w:right w:val="none" w:color="FFFFFF" w:sz="0"/>
          </w:tcBorders>
        </w:tcPr>
        <w:p>
          <w:pPr>
            <w:spacing w:after="0" w:before="0"/>
            <w:jc w:val="right"/>
          </w:pPr>
          <w:r>
            <w:drawing>
              <wp:inline distT="0" distB="0" distL="0" distR="0">
                <wp:extent cx="1066800" cy="1809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066800" cy="180975"/>
                        </a:xfrm>
                        <a:prstGeom prst="rect">
                          <a:avLst/>
                        </a:prstGeom>
                      </pic:spPr>
                    </pic:pic>
                  </a:graphicData>
                </a:graphic>
              </wp:inline>
            </w:drawing>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Plus Jakarta Sans" w:cs="Plus Jakarta Sans" w:eastAsia="Plus Jakarta Sans" w:hAnsi="Plus Jakarta Sans"/>
        <w:color w:val="0c9d7c"/>
        <w:sz w:val="20"/>
        <w:szCs w:val="20"/>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lus Jakarta Sans" w:cs="Plus Jakarta Sans" w:eastAsia="Plus Jakarta Sans" w:hAnsi="Plus Jakarta Sans"/>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400"/>
      <w:outlineLvl w:val="0"/>
    </w:pPr>
    <w:rPr>
      <w:rFonts w:ascii="Playfair Display" w:cs="Playfair Display" w:eastAsia="Playfair Display" w:hAnsi="Playfair Display"/>
      <w:b/>
      <w:bCs/>
      <w:color w:val="0d0d0d"/>
      <w:sz w:val="40"/>
      <w:szCs w:val="40"/>
    </w:rPr>
  </w:style>
  <w:style w:type="paragraph" w:styleId="Heading2">
    <w:name w:val="Heading 2"/>
    <w:basedOn w:val="Normal"/>
    <w:next w:val="Normal"/>
    <w:qFormat/>
    <w:pPr>
      <w:spacing w:after="120" w:before="320"/>
      <w:outlineLvl w:val="1"/>
    </w:pPr>
    <w:rPr>
      <w:rFonts w:ascii="Playfair Display" w:cs="Playfair Display" w:eastAsia="Playfair Display" w:hAnsi="Playfair Display"/>
      <w:b/>
      <w:bCs/>
      <w:color w:val="0c9d7c"/>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1bb349644d2b616a807d42ccd177c7944ddc1601.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Relationship Id="rId0" Type="http://schemas.openxmlformats.org/officeDocument/2006/relationships/image" Target="media/04c4595c48c0633310bb212a99725f20a0d0a05d.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2026-05-27T10:09:25.694Z</dcterms:created>
  <dcterms:modified xsi:type="dcterms:W3CDTF">2026-05-27T10:09:25.695Z</dcterms:modified>
</cp:coreProperties>
</file>

<file path=docProps/custom.xml><?xml version="1.0" encoding="utf-8"?>
<Properties xmlns="http://schemas.openxmlformats.org/officeDocument/2006/custom-properties" xmlns:vt="http://schemas.openxmlformats.org/officeDocument/2006/docPropsVTypes"/>
</file>