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2240"/>
        <w:tblBorders>
          <w:top w:val="single" w:color="auto" w:sz="4"/>
          <w:left w:val="single" w:color="auto" w:sz="4"/>
          <w:bottom w:val="single" w:color="auto" w:sz="4"/>
          <w:right w:val="single" w:color="auto" w:sz="4"/>
          <w:insideH w:val="single" w:color="auto" w:sz="4"/>
          <w:insideV w:val="single" w:color="auto" w:sz="4"/>
        </w:tblBorders>
      </w:tblPr>
      <w:tblGrid>
        <w:gridCol w:w="12240"/>
      </w:tblGrid>
      <w:tr>
        <w:tc>
          <w:tcPr>
            <w:tcW w:type="dxa" w:w="12240"/>
            <w:tcBorders>
              <w:top w:val="none" w:color="FFFFFF" w:sz="0"/>
              <w:left w:val="none" w:color="FFFFFF" w:sz="0"/>
              <w:bottom w:val="none" w:color="FFFFFF" w:sz="0"/>
              <w:right w:val="none" w:color="FFFFFF" w:sz="0"/>
            </w:tcBorders>
            <w:shd w:fill="0d0d0d" w:val="clear"/>
            <w:tcMar>
              <w:top w:type="dxa" w:w="1000"/>
              <w:left w:type="dxa" w:w="1000"/>
              <w:bottom w:type="dxa" w:w="1000"/>
              <w:right w:type="dxa" w:w="1000"/>
            </w:tcMar>
            <w:vAlign w:val="top"/>
          </w:tcPr>
          <w:p>
            <w:pPr>
              <w:spacing w:after="0" w:before="0"/>
              <w:jc w:val="left"/>
            </w:pPr>
            <w:r>
              <w:drawing>
                <wp:inline distT="0" distB="0" distL="0" distR="0">
                  <wp:extent cx="1714500" cy="2952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1714500" cy="295275"/>
                          </a:xfrm>
                          <a:prstGeom prst="rect">
                            <a:avLst/>
                          </a:prstGeom>
                        </pic:spPr>
                      </pic:pic>
                    </a:graphicData>
                  </a:graphic>
                </wp:inline>
              </w:drawing>
            </w:r>
          </w:p>
          <w:p>
            <w:pPr>
              <w:spacing w:after="80" w:before="0"/>
            </w:pPr>
            <w:r>
              <w:rPr>
                <w:color w:val="0d0d0d"/>
                <w:sz w:val="20"/>
                <w:szCs w:val="20"/>
              </w:rPr>
              <w:t xml:space="preserve"> </w:t>
            </w:r>
          </w:p>
          <w:p>
            <w:pPr>
              <w:spacing w:after="80" w:before="0"/>
            </w:pPr>
            <w:r>
              <w:rPr>
                <w:color w:val="0d0d0d"/>
                <w:sz w:val="20"/>
                <w:szCs w:val="20"/>
              </w:rPr>
              <w:t xml:space="preserve"> </w:t>
            </w:r>
          </w:p>
          <w:p>
            <w:pPr>
              <w:spacing w:after="80" w:before="0"/>
            </w:pPr>
            <w:r>
              <w:rPr>
                <w:color w:val="0d0d0d"/>
                <w:sz w:val="20"/>
                <w:szCs w:val="20"/>
              </w:rPr>
              <w:t xml:space="preserve"> </w:t>
            </w:r>
          </w:p>
          <w:p>
            <w:pPr>
              <w:spacing w:after="80" w:before="0"/>
            </w:pPr>
            <w:r>
              <w:rPr>
                <w:color w:val="0d0d0d"/>
                <w:sz w:val="20"/>
                <w:szCs w:val="20"/>
              </w:rPr>
              <w:t xml:space="preserve"> </w:t>
            </w:r>
          </w:p>
          <w:p>
            <w:pPr>
              <w:spacing w:after="80" w:before="0"/>
            </w:pPr>
            <w:r>
              <w:rPr>
                <w:color w:val="0d0d0d"/>
                <w:sz w:val="20"/>
                <w:szCs w:val="20"/>
              </w:rPr>
              <w:t xml:space="preserve"> </w:t>
            </w:r>
          </w:p>
          <w:p>
            <w:pPr>
              <w:spacing w:after="80" w:before="0"/>
            </w:pPr>
            <w:r>
              <w:rPr>
                <w:color w:val="0d0d0d"/>
                <w:sz w:val="20"/>
                <w:szCs w:val="20"/>
              </w:rPr>
              <w:t xml:space="preserve"> </w:t>
            </w:r>
          </w:p>
          <w:p>
            <w:pPr>
              <w:spacing w:after="80" w:before="0"/>
            </w:pPr>
            <w:r>
              <w:rPr>
                <w:color w:val="0d0d0d"/>
                <w:sz w:val="20"/>
                <w:szCs w:val="20"/>
              </w:rPr>
              <w:t xml:space="preserve"> </w:t>
            </w:r>
          </w:p>
          <w:p>
            <w:pPr>
              <w:spacing w:after="80" w:before="0"/>
            </w:pPr>
            <w:r>
              <w:rPr>
                <w:color w:val="0d0d0d"/>
                <w:sz w:val="20"/>
                <w:szCs w:val="20"/>
              </w:rPr>
              <w:t xml:space="preserve"> </w:t>
            </w:r>
          </w:p>
          <w:p>
            <w:pPr>
              <w:spacing w:after="80" w:before="0"/>
            </w:pPr>
            <w:r>
              <w:rPr>
                <w:color w:val="0d0d0d"/>
                <w:sz w:val="20"/>
                <w:szCs w:val="20"/>
              </w:rPr>
              <w:t xml:space="preserve"> </w:t>
            </w:r>
          </w:p>
          <w:p>
            <w:pPr>
              <w:spacing w:after="80" w:before="0"/>
            </w:pPr>
            <w:r>
              <w:rPr>
                <w:color w:val="0d0d0d"/>
                <w:sz w:val="20"/>
                <w:szCs w:val="20"/>
              </w:rPr>
              <w:t xml:space="preserve"> </w:t>
            </w:r>
          </w:p>
          <w:p>
            <w:pPr>
              <w:spacing w:after="80" w:before="0"/>
            </w:pPr>
            <w:r>
              <w:rPr>
                <w:color w:val="0d0d0d"/>
                <w:sz w:val="20"/>
                <w:szCs w:val="20"/>
              </w:rPr>
              <w:t xml:space="preserve"> </w:t>
            </w:r>
          </w:p>
          <w:p>
            <w:pPr>
              <w:spacing w:after="80" w:before="0"/>
            </w:pPr>
            <w:r>
              <w:rPr>
                <w:color w:val="0d0d0d"/>
                <w:sz w:val="20"/>
                <w:szCs w:val="20"/>
              </w:rPr>
              <w:t xml:space="preserve"> </w:t>
            </w:r>
          </w:p>
          <w:p>
            <w:pPr>
              <w:spacing w:after="80" w:before="0"/>
            </w:pPr>
            <w:r>
              <w:rPr>
                <w:color w:val="0d0d0d"/>
                <w:sz w:val="20"/>
                <w:szCs w:val="20"/>
              </w:rPr>
              <w:t xml:space="preserve"> </w:t>
            </w:r>
          </w:p>
          <w:p>
            <w:pPr>
              <w:spacing w:after="100" w:before="0"/>
              <w:jc w:val="left"/>
            </w:pPr>
            <w:r>
              <w:rPr>
                <w:rFonts w:ascii="Playfair Display" w:cs="Playfair Display" w:eastAsia="Playfair Display" w:hAnsi="Playfair Display"/>
                <w:b/>
                <w:bCs/>
                <w:i w:val="false"/>
                <w:iCs w:val="false"/>
                <w:color w:val="FFFFFF"/>
                <w:sz w:val="48"/>
                <w:szCs w:val="48"/>
              </w:rPr>
              <w:t xml:space="preserve">Ward6AI Platform</w:t>
            </w:r>
          </w:p>
          <w:p>
            <w:pPr>
              <w:spacing w:after="80" w:before="0"/>
              <w:jc w:val="left"/>
            </w:pPr>
            <w:r>
              <w:rPr>
                <w:rFonts w:ascii="Playfair Display" w:cs="Playfair Display" w:eastAsia="Playfair Display" w:hAnsi="Playfair Display"/>
                <w:b w:val="false"/>
                <w:bCs w:val="false"/>
                <w:i w:val="false"/>
                <w:iCs w:val="false"/>
                <w:color w:val="50e3c2"/>
                <w:sz w:val="36"/>
                <w:szCs w:val="36"/>
              </w:rPr>
              <w:t xml:space="preserve">Document Element Extractor</w:t>
            </w:r>
          </w:p>
          <w:p>
            <w:pPr>
              <w:pBdr>
                <w:bottom w:val="single" w:color="0c9d7c" w:sz="3" w:space="6"/>
              </w:pBdr>
              <w:spacing w:after="160" w:before="0"/>
            </w:pPr>
            <w:r>
              <w:rPr>
                <w:rFonts w:ascii="Plus Jakarta Sans" w:cs="Plus Jakarta Sans" w:eastAsia="Plus Jakarta Sans" w:hAnsi="Plus Jakarta Sans"/>
                <w:i/>
                <w:iCs/>
                <w:color w:val="888888"/>
                <w:sz w:val="19"/>
                <w:szCs w:val="19"/>
              </w:rPr>
              <w:t xml:space="preserve">Skill documentation: how the extractor works, what it produces, and how to use it</w:t>
            </w:r>
          </w:p>
          <w:p>
            <w:pPr>
              <w:spacing w:after="80" w:before="0"/>
            </w:pPr>
            <w:r>
              <w:rPr>
                <w:color w:val="0d0d0d"/>
                <w:sz w:val="20"/>
                <w:szCs w:val="20"/>
              </w:rPr>
              <w:t xml:space="preserve"> </w:t>
            </w:r>
          </w:p>
          <w:p>
            <w:pPr>
              <w:spacing w:after="80" w:before="0"/>
              <w:jc w:val="left"/>
            </w:pPr>
            <w:r>
              <w:rPr>
                <w:rFonts w:ascii="Plus Jakarta Sans" w:cs="Plus Jakarta Sans" w:eastAsia="Plus Jakarta Sans" w:hAnsi="Plus Jakarta Sans"/>
                <w:b w:val="false"/>
                <w:bCs w:val="false"/>
                <w:i/>
                <w:iCs/>
                <w:color w:val="888888"/>
                <w:sz w:val="17"/>
                <w:szCs w:val="17"/>
              </w:rPr>
              <w:t xml:space="preserve">Brandunity, Ward 6 / Ward 7 AI Pilot, May 2026</w:t>
            </w:r>
          </w:p>
        </w:tc>
      </w:tr>
    </w:tbl>
    <w:p>
      <w:pPr>
        <w:sectPr>
          <w:footerReference w:type="default" r:id="rId7"/>
          <w:type w:val="nextPage"/>
          <w:pgSz w:w="12240" w:h="15840" w:orient="portrait"/>
          <w:pgMar w:top="0" w:right="0" w:bottom="0" w:left="0" w:header="708" w:footer="708" w:gutter="0"/>
          <w:pgNumType/>
          <w:docGrid w:linePitch="360"/>
        </w:sectPr>
      </w:pPr>
    </w:p>
    <w:p>
      <w:pPr>
        <w:pStyle w:val="Heading1"/>
        <w:pBdr>
          <w:bottom w:val="single" w:color="0c9d7c" w:sz="8" w:space="6"/>
        </w:pBdr>
        <w:spacing w:after="180" w:before="400"/>
      </w:pPr>
      <w:r>
        <w:rPr>
          <w:rFonts w:ascii="Playfair Display" w:cs="Playfair Display" w:eastAsia="Playfair Display" w:hAnsi="Playfair Display"/>
          <w:b/>
          <w:bCs/>
          <w:color w:val="0d0d0d"/>
          <w:sz w:val="40"/>
          <w:szCs w:val="40"/>
        </w:rPr>
        <w:t xml:space="preserve">What's new in this version</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Version 4 is the Lambda-rendered version of the Document Element Extractor. Earlier versions built the Word file with a bundled Python script. That approach cannot run in the current Bedrock runtime, which has no code-execution sandbox, so it never produced a document end to end. v4 instead sends a single structured payload to the render_extracted_elements tool on the shared Lambda, which renders the whole document and returns it as a download link.</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The extraction logic is unchanged: what counts as a claim, how granular to be, and how qualifiers and references attach are exactly as before. Only the way the document is produced has changed.</w:t>
      </w:r>
    </w:p>
    <w:p>
      <w:pPr>
        <w:pStyle w:val="Heading2"/>
        <w:spacing w:after="120" w:before="320"/>
      </w:pPr>
      <w:r>
        <w:rPr>
          <w:rFonts w:ascii="Playfair Display" w:cs="Playfair Display" w:eastAsia="Playfair Display" w:hAnsi="Playfair Display"/>
          <w:b/>
          <w:bCs/>
          <w:color w:val="0c9d7c"/>
          <w:sz w:val="28"/>
          <w:szCs w:val="28"/>
        </w:rPr>
        <w:t xml:space="preserve">What you'll notice in the output</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The document is now laid out by the engine, identically on every run. Each claim shows its number on one line and the claim statement in bold beneath it, followed by its occurrences, its locations, the qualifiers that scope it, the full text of each reference that supports it, and any variant wordings. Footnotes and abbreviations are rendered as tables. References appear at the end as a clean numbered list. The EndNote and RIS reference exports are appended as copy-and-paste blocks, and a reviewer disclaimer sits in the footer.</w:t>
      </w:r>
    </w:p>
    <w:p>
      <w:pPr>
        <w:pStyle w:val="Heading1"/>
        <w:pBdr>
          <w:bottom w:val="single" w:color="0c9d7c" w:sz="8" w:space="6"/>
        </w:pBdr>
        <w:spacing w:after="180" w:before="400"/>
      </w:pPr>
      <w:r>
        <w:rPr>
          <w:rFonts w:ascii="Playfair Display" w:cs="Playfair Display" w:eastAsia="Playfair Display" w:hAnsi="Playfair Display"/>
          <w:b/>
          <w:bCs/>
          <w:color w:val="0d0d0d"/>
          <w:sz w:val="40"/>
          <w:szCs w:val="40"/>
        </w:rPr>
        <w:t xml:space="preserve">Overview</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The Document Element Extractor turns a finalised, approved document into a structured, reusable breakdown. It reads the document and produces a Word file organised around claims: every claim is shown with the qualifiers and references that substantiate it, alongside deduplicated lists of references, the mandatory prescribing information, footnotes and abbreviations. The references are also provided as EndNote and RIS export blocks for import into a reference manager. It is review-only: it reads and reorganises the source, and never changes it.</w:t>
      </w:r>
    </w:p>
    <w:p>
      <w:pPr>
        <w:pStyle w:val="Heading1"/>
        <w:pBdr>
          <w:bottom w:val="single" w:color="0c9d7c" w:sz="8" w:space="6"/>
        </w:pBdr>
        <w:spacing w:after="180" w:before="400"/>
      </w:pPr>
      <w:r>
        <w:rPr>
          <w:rFonts w:ascii="Playfair Display" w:cs="Playfair Display" w:eastAsia="Playfair Display" w:hAnsi="Playfair Display"/>
          <w:b/>
          <w:bCs/>
          <w:color w:val="0d0d0d"/>
          <w:sz w:val="40"/>
          <w:szCs w:val="40"/>
        </w:rPr>
        <w:t xml:space="preserve">Background and purpose</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Medical writers work from a continually growing library of finalised, approved documents: Product Information, approved claims lists, study summaries, eDMs, HCP emails, detail aids, sales aids, leave pieces, consumer brochures and CMI. Each of these carries reusable building blocks, claims tied to references, qualifiers, mandatory text, abbreviations and footnotes, that the team needs in order to repurpose content into new materials, seed a claims library, populate a reference manager, or audit a brand's existing content. The extractor does that decomposition automatically and presents it in one place.</w:t>
      </w:r>
    </w:p>
    <w:p>
      <w:pPr>
        <w:pStyle w:val="Heading1"/>
        <w:pBdr>
          <w:bottom w:val="single" w:color="0c9d7c" w:sz="8" w:space="6"/>
        </w:pBdr>
        <w:spacing w:after="180" w:before="400"/>
      </w:pPr>
      <w:r>
        <w:rPr>
          <w:rFonts w:ascii="Playfair Display" w:cs="Playfair Display" w:eastAsia="Playfair Display" w:hAnsi="Playfair Display"/>
          <w:b/>
          <w:bCs/>
          <w:color w:val="0d0d0d"/>
          <w:sz w:val="40"/>
          <w:szCs w:val="40"/>
        </w:rPr>
        <w:t xml:space="preserve">Scope</w:t>
      </w:r>
    </w:p>
    <w:p>
      <w:pPr>
        <w:pStyle w:val="Heading2"/>
        <w:spacing w:after="120" w:before="320"/>
      </w:pPr>
      <w:r>
        <w:rPr>
          <w:rFonts w:ascii="Playfair Display" w:cs="Playfair Display" w:eastAsia="Playfair Display" w:hAnsi="Playfair Display"/>
          <w:b/>
          <w:bCs/>
          <w:color w:val="0c9d7c"/>
          <w:sz w:val="28"/>
          <w:szCs w:val="28"/>
        </w:rPr>
        <w:t xml:space="preserve">In scope</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The scoping principle is approval status, not document type. If a document has been through MLR (or equivalent regulatory or clinical sign-off) and is considered final, it is in scope. The skill assumes the input is approved and does not validate approval status. The following are all in scope:</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Product Information and PI summaries</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Approved claims lists and core claims documents</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Study summaries and clinical trial reports</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Regulatory submissions and dossier extracts</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Approved promotional materials: eDMs, HCP emails, detail aids, sales aids, leave pieces, HCP brochures</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Approved patient-facing materials: consumer brochures, Consumer Medicine Information, patient support materials</w:t>
      </w:r>
    </w:p>
    <w:p>
      <w:pPr>
        <w:pStyle w:val="Heading2"/>
        <w:spacing w:after="120" w:before="320"/>
      </w:pPr>
      <w:r>
        <w:rPr>
          <w:rFonts w:ascii="Playfair Display" w:cs="Playfair Display" w:eastAsia="Playfair Display" w:hAnsi="Playfair Display"/>
          <w:b/>
          <w:bCs/>
          <w:color w:val="0c9d7c"/>
          <w:sz w:val="28"/>
          <w:szCs w:val="28"/>
        </w:rPr>
        <w:t xml:space="preserve">Out of scope</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Compliance checking, mapping claims against an approved claims list, is out of scope. That is handled by the separate Reference and Claim Checker skill. The extractor identifies and reorganises elements only; it does not judge whether a claim is approved.</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The skill is brand-agnostic. There is a single version that works for any brand or company, and it loads no reference library.</w:t>
      </w:r>
    </w:p>
    <w:p>
      <w:pPr>
        <w:pStyle w:val="Heading2"/>
        <w:spacing w:after="120" w:before="320"/>
      </w:pPr>
      <w:r>
        <w:rPr>
          <w:rFonts w:ascii="Playfair Display" w:cs="Playfair Display" w:eastAsia="Playfair Display" w:hAnsi="Playfair Display"/>
          <w:b/>
          <w:bCs/>
          <w:color w:val="0c9d7c"/>
          <w:sz w:val="28"/>
          <w:szCs w:val="28"/>
        </w:rPr>
        <w:t xml:space="preserve">What gets extracted</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The extractor produces these element types:</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Claims: each substantive, referenceable assertion, with its locations, occurrence count, attached qualifiers, supporting references, and any variant wordings.</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Footnotes and superscripts: every marker and its note text.</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Abbreviations: every abbreviation used, with its expansion where defined.</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General qualifiers: document-wide qualifiers not tied to a specific claim and not part of the mandatory block.</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Mandatory prescribing information: the approved mandatory block or blocks, captured verbatim.</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References: a deduplicated list, with the full citation text.</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Flagged for review: anything the extractor was unsure about, for a human to adjudicate.</w:t>
      </w:r>
    </w:p>
    <w:p>
      <w:pPr>
        <w:pStyle w:val="Heading1"/>
        <w:pBdr>
          <w:bottom w:val="single" w:color="0c9d7c" w:sz="8" w:space="6"/>
        </w:pBdr>
        <w:spacing w:after="180" w:before="400"/>
      </w:pPr>
      <w:r>
        <w:rPr>
          <w:rFonts w:ascii="Playfair Display" w:cs="Playfair Display" w:eastAsia="Playfair Display" w:hAnsi="Playfair Display"/>
          <w:b/>
          <w:bCs/>
          <w:color w:val="0d0d0d"/>
          <w:sz w:val="40"/>
          <w:szCs w:val="40"/>
        </w:rPr>
        <w:t xml:space="preserve">How it works</w:t>
      </w:r>
    </w:p>
    <w:p>
      <w:pPr>
        <w:pStyle w:val="Heading2"/>
        <w:spacing w:after="120" w:before="320"/>
      </w:pPr>
      <w:r>
        <w:rPr>
          <w:rFonts w:ascii="Playfair Display" w:cs="Playfair Display" w:eastAsia="Playfair Display" w:hAnsi="Playfair Display"/>
          <w:b/>
          <w:bCs/>
          <w:color w:val="0c9d7c"/>
          <w:sz w:val="28"/>
          <w:szCs w:val="28"/>
        </w:rPr>
        <w:t xml:space="preserve">Reading the source document</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The skill works from the document text the runtime extracts from the attached file and the connected Knowledge Base, the same way the Proof Check and Reference and Claim Checker skills read their source. There is no separate PDF-reading or file-conversion step in this runtime. If the extractable text is minimal (under roughly 200 characters across a multi-page document), the source is treated as a scanned image, and the skill stops and asks for an OCR'd version.</w:t>
      </w:r>
    </w:p>
    <w:p>
      <w:pPr>
        <w:pStyle w:val="Heading2"/>
        <w:spacing w:after="120" w:before="320"/>
      </w:pPr>
      <w:r>
        <w:rPr>
          <w:rFonts w:ascii="Playfair Display" w:cs="Playfair Display" w:eastAsia="Playfair Display" w:hAnsi="Playfair Display"/>
          <w:b/>
          <w:bCs/>
          <w:color w:val="0c9d7c"/>
          <w:sz w:val="28"/>
          <w:szCs w:val="28"/>
        </w:rPr>
        <w:t xml:space="preserve">What counts as a claim</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A claim is any statement that asserts a therapeutic, efficacy, safety, comparative, pharmacokinetic, dosing, mechanism or population-specific property of the product, and that would require a reference to substantiate. The reference-substantiation test is the discriminator: if a regulator would expect the statement to be referenced, it is a claim. PI-derived documents are almost entirely claims; promotional and patient-facing pieces carry more non-claim copy (instructions, sender details, disclaimers, calls to action), so the extractor filters more aggressively on those.</w:t>
      </w:r>
    </w:p>
    <w:p>
      <w:pPr>
        <w:pStyle w:val="Heading2"/>
        <w:spacing w:after="120" w:before="320"/>
      </w:pPr>
      <w:r>
        <w:rPr>
          <w:rFonts w:ascii="Playfair Display" w:cs="Playfair Display" w:eastAsia="Playfair Display" w:hAnsi="Playfair Display"/>
          <w:b/>
          <w:bCs/>
          <w:color w:val="0c9d7c"/>
          <w:sz w:val="28"/>
          <w:szCs w:val="28"/>
        </w:rPr>
        <w:t xml:space="preserve">Ambiguous cases and flagging</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Three patterns recur. A combined statement, several distinct assertions in one sentence, is split into separate claims, because each needs its own reference. A range claim, for example a dose-response range, is kept as one claim, not fragmented per value. A negative claim, for example no dose adjustment required, is included, because it is still a substantiable assertion. When something is genuinely ambiguous, the extractor flags it for review rather than silently deciding.</w:t>
      </w:r>
    </w:p>
    <w:p>
      <w:pPr>
        <w:pStyle w:val="Heading2"/>
        <w:spacing w:after="120" w:before="320"/>
      </w:pPr>
      <w:r>
        <w:rPr>
          <w:rFonts w:ascii="Playfair Display" w:cs="Playfair Display" w:eastAsia="Playfair Display" w:hAnsi="Playfair Display"/>
          <w:b/>
          <w:bCs/>
          <w:color w:val="0c9d7c"/>
          <w:sz w:val="28"/>
          <w:szCs w:val="28"/>
        </w:rPr>
        <w:t xml:space="preserve">Data tables are not claims</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A data or results table, an adverse-event incidence table with percentages, exposure-adjusted incidence rates and confidence intervals, a pharmacokinetic parameter table, or an outcomes table, is reference data, not a claim. The extractor never captures a whole table, a single row, or a run of figures joined by semicolons as a claim. Where the body copy states a specific assertion drawn from a table, for example no new safety signals at seven years, that sentence is captured as the claim, and the table itself is left out of the claims list. If a table appears to carry an important assertion the body copy does not state, it is flagged for the reviewer.</w:t>
      </w:r>
    </w:p>
    <w:p>
      <w:pPr>
        <w:pStyle w:val="Heading2"/>
        <w:spacing w:after="120" w:before="320"/>
      </w:pPr>
      <w:r>
        <w:rPr>
          <w:rFonts w:ascii="Playfair Display" w:cs="Playfair Display" w:eastAsia="Playfair Display" w:hAnsi="Playfair Display"/>
          <w:b/>
          <w:bCs/>
          <w:color w:val="0c9d7c"/>
          <w:sz w:val="28"/>
          <w:szCs w:val="28"/>
        </w:rPr>
        <w:t xml:space="preserve">Document-type detection</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Before extracting, the skill identifies the document type by function: PI-derived, eDM or HCP email, detail aid or sales aid, or patient-facing. The type guides where to look for claims, references, qualifiers and mandatories, and how aggressively to filter non-claim copy.</w:t>
      </w:r>
    </w:p>
    <w:p>
      <w:pPr>
        <w:pStyle w:val="Heading2"/>
        <w:spacing w:after="120" w:before="320"/>
      </w:pPr>
      <w:r>
        <w:rPr>
          <w:rFonts w:ascii="Playfair Display" w:cs="Playfair Display" w:eastAsia="Playfair Display" w:hAnsi="Playfair Display"/>
          <w:b/>
          <w:bCs/>
          <w:color w:val="0c9d7c"/>
          <w:sz w:val="28"/>
          <w:szCs w:val="28"/>
        </w:rPr>
        <w:t xml:space="preserve">Citation handling</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Citation conventions vary, and the extractor handles whichever the document uses: a superscript or bracketed marker tied to an end reference list; an inline parenthetical citation with no end list; or no citation marker at all (common in patient-facing pieces, where the source is typically the PI). Where a claim has no marked citation, the claim is still captured and flagged.</w:t>
      </w:r>
    </w:p>
    <w:p>
      <w:pPr>
        <w:pStyle w:val="Heading2"/>
        <w:spacing w:after="120" w:before="320"/>
      </w:pPr>
      <w:r>
        <w:rPr>
          <w:rFonts w:ascii="Playfair Display" w:cs="Playfair Display" w:eastAsia="Playfair Display" w:hAnsi="Playfair Display"/>
          <w:b/>
          <w:bCs/>
          <w:color w:val="0c9d7c"/>
          <w:sz w:val="28"/>
          <w:szCs w:val="28"/>
        </w:rPr>
        <w:t xml:space="preserve">Mandatories</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The mandatory block is the approved prescribing information required in every HCP-facing piece, or its consumer equivalent. The extractor identifies it by function, product identification, approved indication, PBS or reimbursement status, a PI pointer, sponsor and adverse-event reporting, regardless of where it sits or how it is formatted, and captures the full block verbatim. PI-derived documents have no mandatory block, since the document is itself the regulatory source.</w:t>
      </w:r>
    </w:p>
    <w:p>
      <w:pPr>
        <w:pStyle w:val="Heading2"/>
        <w:spacing w:after="120" w:before="320"/>
      </w:pPr>
      <w:r>
        <w:rPr>
          <w:rFonts w:ascii="Playfair Display" w:cs="Playfair Display" w:eastAsia="Playfair Display" w:hAnsi="Playfair Display"/>
          <w:b/>
          <w:bCs/>
          <w:color w:val="0c9d7c"/>
          <w:sz w:val="28"/>
          <w:szCs w:val="28"/>
        </w:rPr>
        <w:t xml:space="preserve">The step-by-step process</w:t>
      </w:r>
    </w:p>
    <w:p>
      <w:pPr>
        <w:pStyle w:val="ListParagraph"/>
        <w:numPr>
          <w:ilvl w:val="0"/>
          <w:numId w:val="3"/>
        </w:numPr>
        <w:spacing w:after="40" w:before="40"/>
      </w:pPr>
      <w:r>
        <w:rPr>
          <w:rFonts w:ascii="Plus Jakarta Sans" w:cs="Plus Jakarta Sans" w:eastAsia="Plus Jakarta Sans" w:hAnsi="Plus Jakarta Sans"/>
          <w:color w:val="444444"/>
          <w:sz w:val="20"/>
          <w:szCs w:val="20"/>
        </w:rPr>
        <w:t xml:space="preserve">Read the source document and confirm it has extractable text.</w:t>
      </w:r>
    </w:p>
    <w:p>
      <w:pPr>
        <w:pStyle w:val="ListParagraph"/>
        <w:numPr>
          <w:ilvl w:val="0"/>
          <w:numId w:val="3"/>
        </w:numPr>
        <w:spacing w:after="40" w:before="40"/>
      </w:pPr>
      <w:r>
        <w:rPr>
          <w:rFonts w:ascii="Plus Jakarta Sans" w:cs="Plus Jakarta Sans" w:eastAsia="Plus Jakarta Sans" w:hAnsi="Plus Jakarta Sans"/>
          <w:color w:val="444444"/>
          <w:sz w:val="20"/>
          <w:szCs w:val="20"/>
        </w:rPr>
        <w:t xml:space="preserve">Detect the document type.</w:t>
      </w:r>
    </w:p>
    <w:p>
      <w:pPr>
        <w:pStyle w:val="ListParagraph"/>
        <w:numPr>
          <w:ilvl w:val="0"/>
          <w:numId w:val="3"/>
        </w:numPr>
        <w:spacing w:after="40" w:before="40"/>
      </w:pPr>
      <w:r>
        <w:rPr>
          <w:rFonts w:ascii="Plus Jakarta Sans" w:cs="Plus Jakarta Sans" w:eastAsia="Plus Jakarta Sans" w:hAnsi="Plus Jakarta Sans"/>
          <w:color w:val="444444"/>
          <w:sz w:val="20"/>
          <w:szCs w:val="20"/>
        </w:rPr>
        <w:t xml:space="preserve">Identify every claim, with its locations, occurrences, qualifiers, references and variant wordings.</w:t>
      </w:r>
    </w:p>
    <w:p>
      <w:pPr>
        <w:pStyle w:val="ListParagraph"/>
        <w:numPr>
          <w:ilvl w:val="0"/>
          <w:numId w:val="3"/>
        </w:numPr>
        <w:spacing w:after="40" w:before="40"/>
      </w:pPr>
      <w:r>
        <w:rPr>
          <w:rFonts w:ascii="Plus Jakarta Sans" w:cs="Plus Jakarta Sans" w:eastAsia="Plus Jakarta Sans" w:hAnsi="Plus Jakarta Sans"/>
          <w:color w:val="444444"/>
          <w:sz w:val="20"/>
          <w:szCs w:val="20"/>
        </w:rPr>
        <w:t xml:space="preserve">Attach qualifiers to their claims; document-wide qualifiers go to general qualifiers.</w:t>
      </w:r>
    </w:p>
    <w:p>
      <w:pPr>
        <w:pStyle w:val="ListParagraph"/>
        <w:numPr>
          <w:ilvl w:val="0"/>
          <w:numId w:val="3"/>
        </w:numPr>
        <w:spacing w:after="40" w:before="40"/>
      </w:pPr>
      <w:r>
        <w:rPr>
          <w:rFonts w:ascii="Plus Jakarta Sans" w:cs="Plus Jakarta Sans" w:eastAsia="Plus Jakarta Sans" w:hAnsi="Plus Jakarta Sans"/>
          <w:color w:val="444444"/>
          <w:sz w:val="20"/>
          <w:szCs w:val="20"/>
        </w:rPr>
        <w:t xml:space="preserve">Identify references, give each a stable ID, and parse the fields.</w:t>
      </w:r>
    </w:p>
    <w:p>
      <w:pPr>
        <w:pStyle w:val="ListParagraph"/>
        <w:numPr>
          <w:ilvl w:val="0"/>
          <w:numId w:val="3"/>
        </w:numPr>
        <w:spacing w:after="40" w:before="40"/>
      </w:pPr>
      <w:r>
        <w:rPr>
          <w:rFonts w:ascii="Plus Jakarta Sans" w:cs="Plus Jakarta Sans" w:eastAsia="Plus Jakarta Sans" w:hAnsi="Plus Jakarta Sans"/>
          <w:color w:val="444444"/>
          <w:sz w:val="20"/>
          <w:szCs w:val="20"/>
        </w:rPr>
        <w:t xml:space="preserve">Identify the mandatory block, if the document type has one.</w:t>
      </w:r>
    </w:p>
    <w:p>
      <w:pPr>
        <w:pStyle w:val="ListParagraph"/>
        <w:numPr>
          <w:ilvl w:val="0"/>
          <w:numId w:val="3"/>
        </w:numPr>
        <w:spacing w:after="40" w:before="40"/>
      </w:pPr>
      <w:r>
        <w:rPr>
          <w:rFonts w:ascii="Plus Jakarta Sans" w:cs="Plus Jakarta Sans" w:eastAsia="Plus Jakarta Sans" w:hAnsi="Plus Jakarta Sans"/>
          <w:color w:val="444444"/>
          <w:sz w:val="20"/>
          <w:szCs w:val="20"/>
        </w:rPr>
        <w:t xml:space="preserve">Identify footnotes, superscripts and abbreviations.</w:t>
      </w:r>
    </w:p>
    <w:p>
      <w:pPr>
        <w:pStyle w:val="ListParagraph"/>
        <w:numPr>
          <w:ilvl w:val="0"/>
          <w:numId w:val="3"/>
        </w:numPr>
        <w:spacing w:after="40" w:before="40"/>
      </w:pPr>
      <w:r>
        <w:rPr>
          <w:rFonts w:ascii="Plus Jakarta Sans" w:cs="Plus Jakarta Sans" w:eastAsia="Plus Jakarta Sans" w:hAnsi="Plus Jakarta Sans"/>
          <w:color w:val="444444"/>
          <w:sz w:val="20"/>
          <w:szCs w:val="20"/>
        </w:rPr>
        <w:t xml:space="preserve">Assemble the structured payload.</w:t>
      </w:r>
    </w:p>
    <w:p>
      <w:pPr>
        <w:pStyle w:val="ListParagraph"/>
        <w:numPr>
          <w:ilvl w:val="0"/>
          <w:numId w:val="3"/>
        </w:numPr>
        <w:spacing w:after="40" w:before="40"/>
      </w:pPr>
      <w:r>
        <w:rPr>
          <w:rFonts w:ascii="Plus Jakarta Sans" w:cs="Plus Jakarta Sans" w:eastAsia="Plus Jakarta Sans" w:hAnsi="Plus Jakarta Sans"/>
          <w:color w:val="444444"/>
          <w:sz w:val="20"/>
          <w:szCs w:val="20"/>
        </w:rPr>
        <w:t xml:space="preserve">Send the payload to render_extracted_elements and present the returned file.</w:t>
      </w:r>
    </w:p>
    <w:p>
      <w:pPr>
        <w:pStyle w:val="Heading1"/>
        <w:pBdr>
          <w:bottom w:val="single" w:color="0c9d7c" w:sz="8" w:space="6"/>
        </w:pBdr>
        <w:spacing w:after="180" w:before="400"/>
      </w:pPr>
      <w:r>
        <w:rPr>
          <w:rFonts w:ascii="Playfair Display" w:cs="Playfair Display" w:eastAsia="Playfair Display" w:hAnsi="Playfair Display"/>
          <w:b/>
          <w:bCs/>
          <w:color w:val="0d0d0d"/>
          <w:sz w:val="40"/>
          <w:szCs w:val="40"/>
        </w:rPr>
        <w:t xml:space="preserve">Outputs</w:t>
      </w:r>
    </w:p>
    <w:p>
      <w:pPr>
        <w:pStyle w:val="Heading2"/>
        <w:spacing w:after="120" w:before="320"/>
      </w:pPr>
      <w:r>
        <w:rPr>
          <w:rFonts w:ascii="Playfair Display" w:cs="Playfair Display" w:eastAsia="Playfair Display" w:hAnsi="Playfair Display"/>
          <w:b/>
          <w:bCs/>
          <w:color w:val="0c9d7c"/>
          <w:sz w:val="28"/>
          <w:szCs w:val="28"/>
        </w:rPr>
        <w:t xml:space="preserve">Chat summary line</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The skill posts a short summary line in the chat, the detected document type and the counts (claims, references, mandatories, footnotes, abbreviations and flagged items), followed by the download link. It does not print its working, the payload, or a text version of the extraction into the chat.</w:t>
      </w:r>
    </w:p>
    <w:p>
      <w:pPr>
        <w:pStyle w:val="Heading2"/>
        <w:spacing w:after="120" w:before="320"/>
      </w:pPr>
      <w:r>
        <w:rPr>
          <w:rFonts w:ascii="Playfair Display" w:cs="Playfair Display" w:eastAsia="Playfair Display" w:hAnsi="Playfair Display"/>
          <w:b/>
          <w:bCs/>
          <w:color w:val="0c9d7c"/>
          <w:sz w:val="28"/>
          <w:szCs w:val="28"/>
        </w:rPr>
        <w:t xml:space="preserve">Word document layout</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The rendered document opens with a title and a meta block (source, pages, document type and generated date), then the sections in order: Claims, Footnotes and superscripts, Abbreviations, General qualifiers (if any), Mandatory prescribing information (if any), References, Flagged for review (if any), and the Reference exports. A reviewer disclaimer closes the document.</w:t>
      </w:r>
    </w:p>
    <w:p>
      <w:pPr>
        <w:pStyle w:val="Heading2"/>
        <w:spacing w:after="120" w:before="320"/>
      </w:pPr>
      <w:r>
        <w:rPr>
          <w:rFonts w:ascii="Playfair Display" w:cs="Playfair Display" w:eastAsia="Playfair Display" w:hAnsi="Playfair Display"/>
          <w:b/>
          <w:bCs/>
          <w:color w:val="0c9d7c"/>
          <w:sz w:val="28"/>
          <w:szCs w:val="28"/>
        </w:rPr>
        <w:t xml:space="preserve">References: full text and a clean list</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Each claim lists the full citation text of every reference that supports it, not a short code. The References section at the end is a clean numbered list of every reference in full, with no indication of which claims used them, so it reads as a standalone bibliography.</w:t>
      </w:r>
    </w:p>
    <w:p>
      <w:pPr>
        <w:pStyle w:val="Heading2"/>
        <w:spacing w:after="120" w:before="320"/>
      </w:pPr>
      <w:r>
        <w:rPr>
          <w:rFonts w:ascii="Playfair Display" w:cs="Playfair Display" w:eastAsia="Playfair Display" w:hAnsi="Playfair Display"/>
          <w:b/>
          <w:bCs/>
          <w:color w:val="0c9d7c"/>
          <w:sz w:val="28"/>
          <w:szCs w:val="28"/>
        </w:rPr>
        <w:t xml:space="preserve">EndNote and RIS reference exports</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The references are also rendered as two copy-and-paste blocks at the end of the document, one EndNote (.enw) and one RIS (.ris). To import into a reference manager, copy a block into a plain text file, save it with the matching extension, and import it. These blocks are built mechanically from the same reference data, so they always match the reference list.</w:t>
      </w:r>
    </w:p>
    <w:p>
      <w:pPr>
        <w:pStyle w:val="Heading2"/>
        <w:spacing w:after="120" w:before="320"/>
      </w:pPr>
      <w:r>
        <w:rPr>
          <w:rFonts w:ascii="Playfair Display" w:cs="Playfair Display" w:eastAsia="Playfair Display" w:hAnsi="Playfair Display"/>
          <w:b/>
          <w:bCs/>
          <w:color w:val="0c9d7c"/>
          <w:sz w:val="28"/>
          <w:szCs w:val="28"/>
        </w:rPr>
        <w:t xml:space="preserve">Flagged for review</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Anything the extractor was unsure about, a fragment that might or might not be a claim, a visual element that may imply a claim, a table that may carry an unstated assertion, or an incomplete reference, is listed in a Flagged for review section with the reason and location, for a human to adjudicate.</w:t>
      </w:r>
    </w:p>
    <w:p>
      <w:pPr>
        <w:pStyle w:val="Heading1"/>
        <w:pBdr>
          <w:bottom w:val="single" w:color="0c9d7c" w:sz="8" w:space="6"/>
        </w:pBdr>
        <w:spacing w:after="180" w:before="400"/>
      </w:pPr>
      <w:r>
        <w:rPr>
          <w:rFonts w:ascii="Playfair Display" w:cs="Playfair Display" w:eastAsia="Playfair Display" w:hAnsi="Playfair Display"/>
          <w:b/>
          <w:bCs/>
          <w:color w:val="0d0d0d"/>
          <w:sz w:val="40"/>
          <w:szCs w:val="40"/>
        </w:rPr>
        <w:t xml:space="preserve">Edge cases and limitations</w:t>
      </w:r>
    </w:p>
    <w:p>
      <w:pPr>
        <w:pStyle w:val="Heading2"/>
        <w:spacing w:after="120" w:before="320"/>
      </w:pPr>
      <w:r>
        <w:rPr>
          <w:rFonts w:ascii="Playfair Display" w:cs="Playfair Display" w:eastAsia="Playfair Display" w:hAnsi="Playfair Display"/>
          <w:b/>
          <w:bCs/>
          <w:color w:val="0c9d7c"/>
          <w:sz w:val="28"/>
          <w:szCs w:val="28"/>
        </w:rPr>
        <w:t xml:space="preserve">Run-to-run variation in counts</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The engine locks the layout, so the document looks identical on every run. It does not lock the number of claims. Identifying and wording claims is a judgment the AI makes, and it can vary slightly from run to run. This skill renders the data it is given; unlike the proof checker, it does not consolidate or deduplicate claims. So treat the substance of the extraction as the output, and expect the headline counts to move a little between runs.</w:t>
      </w:r>
    </w:p>
    <w:p>
      <w:pPr>
        <w:pStyle w:val="Heading2"/>
        <w:spacing w:after="120" w:before="320"/>
      </w:pPr>
      <w:r>
        <w:rPr>
          <w:rFonts w:ascii="Playfair Display" w:cs="Playfair Display" w:eastAsia="Playfair Display" w:hAnsi="Playfair Display"/>
          <w:b/>
          <w:bCs/>
          <w:color w:val="0c9d7c"/>
          <w:sz w:val="28"/>
          <w:szCs w:val="28"/>
        </w:rPr>
        <w:t xml:space="preserve">Scanned or image-only documents</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If the source has little or no extractable text, the extractor stops and asks for an OCR'd version, since it cannot read image-only pages.</w:t>
      </w:r>
    </w:p>
    <w:p>
      <w:pPr>
        <w:pStyle w:val="Heading2"/>
        <w:spacing w:after="120" w:before="320"/>
      </w:pPr>
      <w:r>
        <w:rPr>
          <w:rFonts w:ascii="Playfair Display" w:cs="Playfair Display" w:eastAsia="Playfair Display" w:hAnsi="Playfair Display"/>
          <w:b/>
          <w:bCs/>
          <w:color w:val="0c9d7c"/>
          <w:sz w:val="28"/>
          <w:szCs w:val="28"/>
        </w:rPr>
        <w:t xml:space="preserve">Visual elements and infographics</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Designed pieces often carry meaning in icons, charts and infographics that does not appear in extractable text. The extractor cannot read those, so where a visual seems to assert a claim not stated in words, it is flagged for the reviewer rather than guessed at.</w:t>
      </w:r>
    </w:p>
    <w:p>
      <w:pPr>
        <w:pStyle w:val="Heading2"/>
        <w:spacing w:after="120" w:before="320"/>
      </w:pPr>
      <w:r>
        <w:rPr>
          <w:rFonts w:ascii="Playfair Display" w:cs="Playfair Display" w:eastAsia="Playfair Display" w:hAnsi="Playfair Display"/>
          <w:b/>
          <w:bCs/>
          <w:color w:val="0c9d7c"/>
          <w:sz w:val="28"/>
          <w:szCs w:val="28"/>
        </w:rPr>
        <w:t xml:space="preserve">Review-only</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The extractor reads and reorganises the source and never changes it. Every extracted element must be verified against the source document before it is added to a library, a reference manager, or reused in new materials.</w:t>
      </w:r>
    </w:p>
    <w:p>
      <w:pPr>
        <w:pStyle w:val="Heading1"/>
        <w:pBdr>
          <w:bottom w:val="single" w:color="0c9d7c" w:sz="8" w:space="6"/>
        </w:pBdr>
        <w:spacing w:after="180" w:before="400"/>
      </w:pPr>
      <w:r>
        <w:rPr>
          <w:rFonts w:ascii="Playfair Display" w:cs="Playfair Display" w:eastAsia="Playfair Display" w:hAnsi="Playfair Display"/>
          <w:b/>
          <w:bCs/>
          <w:color w:val="0d0d0d"/>
          <w:sz w:val="40"/>
          <w:szCs w:val="40"/>
        </w:rPr>
        <w:t xml:space="preserve">Technical architecture</w:t>
      </w:r>
    </w:p>
    <w:p>
      <w:pPr>
        <w:pStyle w:val="Heading2"/>
        <w:spacing w:after="120" w:before="320"/>
      </w:pPr>
      <w:r>
        <w:rPr>
          <w:rFonts w:ascii="Playfair Display" w:cs="Playfair Display" w:eastAsia="Playfair Display" w:hAnsi="Playfair Display"/>
          <w:b/>
          <w:bCs/>
          <w:color w:val="0c9d7c"/>
          <w:sz w:val="28"/>
          <w:szCs w:val="28"/>
        </w:rPr>
        <w:t xml:space="preserve">The skill bundle</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The skill package contains a single SKILL.md and no scripts. All extraction judgment happens in the skill's instructions; all rendering happens in the Lambda.</w:t>
      </w:r>
    </w:p>
    <w:p>
      <w:pPr>
        <w:pStyle w:val="Heading2"/>
        <w:spacing w:after="120" w:before="320"/>
      </w:pPr>
      <w:r>
        <w:rPr>
          <w:rFonts w:ascii="Playfair Display" w:cs="Playfair Display" w:eastAsia="Playfair Display" w:hAnsi="Playfair Display"/>
          <w:b/>
          <w:bCs/>
          <w:color w:val="0c9d7c"/>
          <w:sz w:val="28"/>
          <w:szCs w:val="28"/>
        </w:rPr>
        <w:t xml:space="preserve">How the source document is read</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The document text is provided by the runtime's native extraction from the attached file and the Knowledge Base. The skill does not run any code to read or convert files.</w:t>
      </w:r>
    </w:p>
    <w:p>
      <w:pPr>
        <w:pStyle w:val="Heading2"/>
        <w:spacing w:after="120" w:before="320"/>
      </w:pPr>
      <w:r>
        <w:rPr>
          <w:rFonts w:ascii="Playfair Display" w:cs="Playfair Display" w:eastAsia="Playfair Display" w:hAnsi="Playfair Display"/>
          <w:b/>
          <w:bCs/>
          <w:color w:val="0c9d7c"/>
          <w:sz w:val="28"/>
          <w:szCs w:val="28"/>
        </w:rPr>
        <w:t xml:space="preserve">The render_extracted_elements tool</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render_extracted_elements is a structured-only tool on the shared Lambda. It has no free-text field, so the document cannot be hand-composed; the skill must supply the structured payload, and the Lambda owns the entire layout, the claim blocks, the footnote and abbreviation tables, the reference list, the export blocks and the footer. The finished document is uploaded to secure storage and returned as a download link, the same delivery mechanism every document tool on the Lambda now uses.</w:t>
      </w:r>
    </w:p>
    <w:p>
      <w:pPr>
        <w:pStyle w:val="Heading2"/>
        <w:spacing w:after="120" w:before="320"/>
      </w:pPr>
      <w:r>
        <w:rPr>
          <w:rFonts w:ascii="Playfair Display" w:cs="Playfair Display" w:eastAsia="Playfair Display" w:hAnsi="Playfair Display"/>
          <w:b/>
          <w:bCs/>
          <w:color w:val="0c9d7c"/>
          <w:sz w:val="28"/>
          <w:szCs w:val="28"/>
        </w:rPr>
        <w:t xml:space="preserve">Reference exports</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The EndNote and RIS blocks are generated by the Lambda from the parsed reference fields and appended to the document, so they are correctly formatted and consistent with the reference list every time.</w:t>
      </w:r>
    </w:p>
    <w:p>
      <w:pPr>
        <w:pStyle w:val="Heading2"/>
        <w:spacing w:after="120" w:before="320"/>
      </w:pPr>
      <w:r>
        <w:rPr>
          <w:rFonts w:ascii="Playfair Display" w:cs="Playfair Display" w:eastAsia="Playfair Display" w:hAnsi="Playfair Display"/>
          <w:b/>
          <w:bCs/>
          <w:color w:val="0c9d7c"/>
          <w:sz w:val="28"/>
          <w:szCs w:val="28"/>
        </w:rPr>
        <w:t xml:space="preserve">Output disclaimer</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Every extraction carries this disclaimer in its footer: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c9d7c" w:sz="3"/>
              <w:left w:val="single" w:color="0c9d7c" w:sz="20"/>
              <w:bottom w:val="single" w:color="0c9d7c" w:sz="3"/>
              <w:right w:val="single" w:color="0c9d7c" w:sz="3"/>
            </w:tcBorders>
            <w:shd w:fill="E8F8F4" w:val="clear"/>
            <w:tcMar>
              <w:top w:type="dxa" w:w="140"/>
              <w:left w:type="dxa" w:w="220"/>
              <w:bottom w:type="dxa" w:w="140"/>
              <w:right w:type="dxa" w:w="220"/>
            </w:tcMar>
          </w:tcPr>
          <w:p>
            <w:r>
              <w:rPr>
                <w:rFonts w:ascii="Plus Jakarta Sans" w:cs="Plus Jakarta Sans" w:eastAsia="Plus Jakarta Sans" w:hAnsi="Plus Jakarta Sans"/>
                <w:i/>
                <w:iCs/>
                <w:color w:val="1A5C4A"/>
                <w:sz w:val="19"/>
                <w:szCs w:val="19"/>
              </w:rPr>
              <w:t xml:space="preserve">This document was generated by an AI extraction skill. All extracted elements must be reviewed and verified against the source document before being added to a claims library, reference manager, or used in any external materials.</w:t>
            </w:r>
          </w:p>
        </w:tc>
      </w:tr>
    </w:tbl>
    <w:p>
      <w:pPr>
        <w:spacing w:after="50" w:before="0"/>
      </w:pPr>
      <w:r>
        <w:t xml:space="preserve"/>
      </w:r>
    </w:p>
    <w:p>
      <w:pPr>
        <w:pStyle w:val="Heading2"/>
        <w:spacing w:after="120" w:before="320"/>
      </w:pPr>
      <w:r>
        <w:rPr>
          <w:rFonts w:ascii="Playfair Display" w:cs="Playfair Display" w:eastAsia="Playfair Display" w:hAnsi="Playfair Display"/>
          <w:b/>
          <w:bCs/>
          <w:color w:val="0c9d7c"/>
          <w:sz w:val="28"/>
          <w:szCs w:val="28"/>
        </w:rPr>
        <w:t xml:space="preserve">Versioning</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This is version 4. It is a single, brand-agnostic version that works for any brand. Earlier script-based versions are archived.</w:t>
      </w:r>
    </w:p>
    <w:sectPr>
      <w:footerReference w:type="default" r:id="rId8"/>
      <w:pgSz w:w="12240" w:h="15840" w:orient="portrait"/>
      <w:pgMar w:top="1440" w:right="1440" w:bottom="120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8D8D8" w:sz="2" w:space="6"/>
      </w:pBdr>
      <w:spacing w:after="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Pr>
        <w:p>
          <w:pPr>
            <w:spacing w:after="0" w:before="0"/>
            <w:jc w:val="left"/>
          </w:pPr>
          <w:r>
            <w:rPr>
              <w:rFonts w:ascii="Plus Jakarta Sans" w:cs="Plus Jakarta Sans" w:eastAsia="Plus Jakarta Sans" w:hAnsi="Plus Jakarta Sans"/>
              <w:color w:val="888888"/>
              <w:sz w:val="16"/>
              <w:szCs w:val="16"/>
            </w:rPr>
            <w:fldChar w:fldCharType="begin"/>
            <w:instrText xml:space="preserve">PAGE</w:instrText>
            <w:fldChar w:fldCharType="separate"/>
            <w:fldChar w:fldCharType="end"/>
          </w:r>
        </w:p>
      </w:tc>
      <w:tc>
        <w:tcPr>
          <w:tcW w:type="dxa" w:w="4680"/>
          <w:tcBorders>
            <w:top w:val="none" w:color="FFFFFF" w:sz="0"/>
            <w:left w:val="none" w:color="FFFFFF" w:sz="0"/>
            <w:bottom w:val="none" w:color="FFFFFF" w:sz="0"/>
            <w:right w:val="none" w:color="FFFFFF" w:sz="0"/>
          </w:tcBorders>
        </w:tcPr>
        <w:p>
          <w:pPr>
            <w:spacing w:after="0" w:before="0"/>
            <w:jc w:val="right"/>
          </w:pPr>
          <w:r>
            <w:drawing>
              <wp:inline distT="0" distB="0" distL="0" distR="0">
                <wp:extent cx="1066800" cy="1809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066800" cy="180975"/>
                        </a:xfrm>
                        <a:prstGeom prst="rect">
                          <a:avLst/>
                        </a:prstGeom>
                      </pic:spPr>
                    </pic:pic>
                  </a:graphicData>
                </a:graphic>
              </wp:inline>
            </w:drawing>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Plus Jakarta Sans" w:cs="Plus Jakarta Sans" w:eastAsia="Plus Jakarta Sans" w:hAnsi="Plus Jakarta Sans"/>
        <w:color w:val="0c9d7c"/>
        <w:sz w:val="20"/>
        <w:szCs w:val="20"/>
      </w:rPr>
    </w:lvl>
  </w:abstractNum>
  <w:abstractNum w:abstractNumId="3" w15:restartNumberingAfterBreak="0">
    <w:multiLevelType w:val="hybridMultilevel"/>
    <w:lvl w:ilvl="0" w15:tentative="1">
      <w:start w:val="1"/>
      <w:numFmt w:val="decimal"/>
      <w:lvlText w:val="%1."/>
      <w:lvlJc w:val="left"/>
      <w:pPr>
        <w:ind w:left="720" w:hanging="360"/>
      </w:pPr>
      <w:rPr>
        <w:rFonts w:ascii="Plus Jakarta Sans" w:cs="Plus Jakarta Sans" w:eastAsia="Plus Jakarta Sans" w:hAnsi="Plus Jakarta Sans"/>
        <w:color w:val="0c9d7c"/>
        <w:sz w:val="20"/>
        <w:szCs w:val="20"/>
      </w:r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lus Jakarta Sans" w:cs="Plus Jakarta Sans" w:eastAsia="Plus Jakarta Sans" w:hAnsi="Plus Jakarta Sans"/>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400"/>
      <w:outlineLvl w:val="0"/>
    </w:pPr>
    <w:rPr>
      <w:rFonts w:ascii="Playfair Display" w:cs="Playfair Display" w:eastAsia="Playfair Display" w:hAnsi="Playfair Display"/>
      <w:b/>
      <w:bCs/>
      <w:color w:val="0d0d0d"/>
      <w:sz w:val="40"/>
      <w:szCs w:val="40"/>
    </w:rPr>
  </w:style>
  <w:style w:type="paragraph" w:styleId="Heading2">
    <w:name w:val="Heading 2"/>
    <w:basedOn w:val="Normal"/>
    <w:next w:val="Normal"/>
    <w:qFormat/>
    <w:pPr>
      <w:spacing w:after="120" w:before="320"/>
      <w:outlineLvl w:val="1"/>
    </w:pPr>
    <w:rPr>
      <w:rFonts w:ascii="Playfair Display" w:cs="Playfair Display" w:eastAsia="Playfair Display" w:hAnsi="Playfair Display"/>
      <w:b/>
      <w:bCs/>
      <w:color w:val="0c9d7c"/>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1bb349644d2b616a807d42ccd177c7944ddc1601.png"/><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Relationship Id="rId0" Type="http://schemas.openxmlformats.org/officeDocument/2006/relationships/image" Target="media/04c4595c48c0633310bb212a99725f20a0d0a05d.png"/></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2026-05-26T11:08:44.758Z</dcterms:created>
  <dcterms:modified xsi:type="dcterms:W3CDTF">2026-05-26T11:08:44.758Z</dcterms:modified>
</cp:coreProperties>
</file>

<file path=docProps/custom.xml><?xml version="1.0" encoding="utf-8"?>
<Properties xmlns="http://schemas.openxmlformats.org/officeDocument/2006/custom-properties" xmlns:vt="http://schemas.openxmlformats.org/officeDocument/2006/docPropsVTypes"/>
</file>